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ALEXANDRA OZSVÁTH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ozsvath-alexandra@partium.ro</w:t>
            </w:r>
            <w:r w:rsidRPr="001067CD">
              <w:rPr>
                <w:i/>
              </w:rPr>
              <w:br/>
            </w:r>
            <w:r w:rsidR="00A96AEC">
              <w:t>Banking and finance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Partium Christian University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Lóránd-István, Králik PhD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Inflation targeting in the early 2020s in Romania and Hungary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inflation targeting, monetary policy, key interest rate, real money supply, coronavirus crisis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focus of my research is the inflation targeting used in the early 2020s</w:t>
      </w:r>
      <w:r>
        <w:rPr>
          <w:color w:val="000000"/>
          <w:sz w:val="24"/>
          <w:szCs w:val="24"/>
        </w:rPr>
        <w:br/>
        <w:t xml:space="preserve">in Romania and Hungary. The inflationary processes of the 21st century are both internal and external</w:t>
      </w:r>
      <w:r>
        <w:rPr>
          <w:color w:val="000000"/>
          <w:sz w:val="24"/>
          <w:szCs w:val="24"/>
        </w:rPr>
        <w:br/>
        <w:t xml:space="preserve">shaped by factors, this is especially true for developing economies. Inflation targeting</w:t>
      </w:r>
      <w:r>
        <w:rPr>
          <w:color w:val="000000"/>
          <w:sz w:val="24"/>
          <w:szCs w:val="24"/>
        </w:rPr>
        <w:br/>
        <w:t xml:space="preserve">its appearance gave a new direction to monetary policy debates in both countries. In Romania, the</w:t>
      </w:r>
      <w:r>
        <w:rPr>
          <w:color w:val="000000"/>
          <w:sz w:val="24"/>
          <w:szCs w:val="24"/>
        </w:rPr>
        <w:br/>
        <w:t xml:space="preserve">monetary policy was cautious and adaptable to the economic-political environment, however</w:t>
      </w:r>
      <w:r>
        <w:rPr>
          <w:color w:val="000000"/>
          <w:sz w:val="24"/>
          <w:szCs w:val="24"/>
        </w:rPr>
        <w:br/>
        <w:t xml:space="preserve">it is questionable whether a direct inflation target would be the most appropriate choice for the country.</w:t>
      </w:r>
      <w:r>
        <w:rPr>
          <w:color w:val="000000"/>
          <w:sz w:val="24"/>
          <w:szCs w:val="24"/>
        </w:rPr>
        <w:br/>
        <w:t xml:space="preserve">In Hungary, the Monetary Council confirmed it as part of the price stability mandate</w:t>
      </w:r>
      <w:r>
        <w:rPr>
          <w:color w:val="000000"/>
          <w:sz w:val="24"/>
          <w:szCs w:val="24"/>
        </w:rPr>
        <w:br/>
        <w:t xml:space="preserve">inflation target and introduced the ex ante tolerance band, which means flexibility in the inflation targets</w:t>
      </w:r>
      <w:r>
        <w:rPr>
          <w:color w:val="000000"/>
          <w:sz w:val="24"/>
          <w:szCs w:val="24"/>
        </w:rPr>
        <w:br/>
        <w:t xml:space="preserve">around. Both central banks have a prominent role in the economy, especially during crises.</w:t>
      </w:r>
      <w:r>
        <w:rPr>
          <w:color w:val="000000"/>
          <w:sz w:val="24"/>
          <w:szCs w:val="24"/>
        </w:rPr>
        <w:br/>
        <w:t xml:space="preserve">The coronavirus crisis has highlighted the importance of monetary policy in economic crises</w:t>
      </w:r>
      <w:r>
        <w:rPr>
          <w:color w:val="000000"/>
          <w:sz w:val="24"/>
          <w:szCs w:val="24"/>
        </w:rPr>
        <w:br/>
        <w:t xml:space="preserve">in treatment. In my thesis, I analyze the key interest rate, the real money supply and the</w:t>
      </w:r>
      <w:r>
        <w:rPr>
          <w:color w:val="000000"/>
          <w:sz w:val="24"/>
          <w:szCs w:val="24"/>
        </w:rPr>
        <w:br/>
        <w:t xml:space="preserve">the relationship between inflation, as well as trying to determine how much the two central banks</w:t>
      </w:r>
      <w:r>
        <w:rPr>
          <w:color w:val="000000"/>
          <w:sz w:val="24"/>
          <w:szCs w:val="24"/>
        </w:rPr>
        <w:br/>
        <w:t xml:space="preserve">pursues a flexible inflation targeting policy.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404864">
    <w:multiLevelType w:val="hybridMultilevel"/>
    <w:lvl w:ilvl="0" w:tplc="41614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404864">
    <w:abstractNumId w:val="564048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8706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