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ROZSÁLYI</w:t>
            </w:r>
          </w:p>
          <w:p w:rsidR="00C275A3" w:rsidRDefault="00CA6B74" w:rsidP="00C275A3">
            <w:pPr>
              <w:pStyle w:val="Hallgatokepzes"/>
            </w:pPr>
            <w:r w:rsidRPr="001067CD">
              <w:rPr>
                <w:i/>
              </w:rPr>
              <w:t>emoke1234@gmail.com</w:t>
            </w:r>
            <w:r w:rsidRPr="001067CD">
              <w:rPr>
                <w:i/>
              </w:rPr>
              <w:br/>
            </w:r>
            <w:r w:rsidR="00A96AEC">
              <w:t>Entrepreneurship and business administration</w:t>
            </w:r>
            <w:r w:rsidR="00A96AEC">
              <w:br/>
            </w:r>
            <w:r w:rsidR="00E77B23">
              <w:t>MA, 4.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Edina-Éva Kulcsár, Ph.D.</w:t>
            </w:r>
          </w:p>
          <w:p w:rsidR="00DB4822" w:rsidRDefault="00DB4822" w:rsidP="00BA6BAF">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study of non-financial reporting practices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non-financial reporting, ESG, performance, climate change</w:t>
      </w:r>
      <w:r>
        <w:t xml:space="preserve"/>
      </w:r>
    </w:p>
    <w:p>
      <w:pPr>
        <w:widowControl w:val="on"/>
        <w:pBdr/>
        <w:spacing w:before="240" w:after="240" w:line="240" w:lineRule="auto"/>
        <w:ind w:left="0" w:right="0"/>
        <w:jc w:val="left"/>
      </w:pPr>
      <w:r>
        <w:rPr>
          <w:color w:val="000000"/>
          <w:sz w:val="24"/>
          <w:szCs w:val="24"/>
        </w:rPr>
        <w:t xml:space="preserve">Nowadays, companies are increasingly focusing on mitigating the adverse effects of climate change. To this end, they prepare annual sustainability reports in addition to financial reports. In my research, I examined the practice of non-financial reporting using text mining methods across three industries: the energy, financial services, and industrial sectors.</w:t>
      </w:r>
    </w:p>
    <w:p>
      <w:pPr>
        <w:widowControl w:val="on"/>
        <w:pBdr/>
        <w:spacing w:before="240" w:after="240" w:line="240" w:lineRule="auto"/>
        <w:ind w:left="0" w:right="0"/>
        <w:jc w:val="left"/>
      </w:pPr>
      <w:r>
        <w:rPr>
          <w:color w:val="000000"/>
          <w:sz w:val="24"/>
          <w:szCs w:val="24"/>
        </w:rPr>
        <w:br/>
        <w:t xml:space="preserve">The sample included ESG (Environmental, Social, and Governance) reports from 31 publicly traded companies, and I analyzed their content differences, length, and temporal changes between 2020 and 2022. To process the collected data, I used the R statistical program. I examined the frequency of keywords defining the ESG dimensions. I analyzed the reports' content similarities using cosine similarity calculations.</w:t>
      </w:r>
    </w:p>
    <w:p>
      <w:pPr>
        <w:widowControl w:val="on"/>
        <w:pBdr/>
        <w:spacing w:before="240" w:after="240" w:line="240" w:lineRule="auto"/>
        <w:ind w:left="0" w:right="0"/>
        <w:jc w:val="left"/>
      </w:pPr>
      <w:r>
        <w:rPr>
          <w:color w:val="000000"/>
          <w:sz w:val="24"/>
          <w:szCs w:val="24"/>
        </w:rPr>
        <w:t xml:space="preserve">The results show that non-financial reports became increasingly detailed and comprehensive during the examined period. Companies in the financial and energy sectors produced more detailed reports. Environmental and social aspects were given prominent attention in the reports, while corporate governance aspects required further elaboration.</w:t>
      </w:r>
    </w:p>
    <w:p>
      <w:pPr>
        <w:widowControl w:val="on"/>
        <w:pBdr/>
        <w:spacing w:before="240" w:after="240" w:line="240" w:lineRule="auto"/>
        <w:ind w:left="0" w:right="0"/>
        <w:jc w:val="left"/>
      </w:pPr>
      <w:r>
        <w:rPr>
          <w:color w:val="000000"/>
          <w:sz w:val="24"/>
          <w:szCs w:val="24"/>
        </w:rPr>
        <w:t xml:space="preserve">Based on cosine similarity calculations, reports from the energy sector exhibited the highest degree of similarity, whereas more significant content differences were observed in the financial and industrial sectors. Most companies applied the GRI framework in preparing their sustainability reports.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12512">
    <w:multiLevelType w:val="hybridMultilevel"/>
    <w:lvl w:ilvl="0" w:tplc="63473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12512">
    <w:abstractNumId w:val="30612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281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