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ballajanos2002@gmail.com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Fogarasi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professzor,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Devizaárfolyam és pénzkínálat kapcsolatának vizsgálata Romániában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devizaárfolyam, pénzkínálat, gazdasági növekedés, Románia, M1 pénzaggregátum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 ország célkitűzéseinek egyike a stabil gazdasági növekedés elérése, aminek érdekében számos olyan kutatás született, melyek a különböző makroökonómiai összefüggéseket vizsgálják, választ keresve például az árfolyam és pénzkínálat közötti kapcsolatra, illetve annak erősségére.</w:t>
      </w:r>
      <w:r>
        <w:rPr>
          <w:color w:val="000000"/>
          <w:sz w:val="24"/>
          <w:szCs w:val="24"/>
        </w:rPr>
        <w:br/>
        <w:t xml:space="preserve">Kutatásom célja megfigyelni a devizaárfolyam és pénzkínálat közötti kapcsolatot Romániában 2008-2023 között, amihez az euró árfolyamának havi lebontású adatait használom fel, a pénzkínálatot pedig az M1 pénzaggregátummal mérem. A vizsgálat részét képezi a változók leíró statisztikájának, a többváltozós lineáris regressziónak elkészítése, és egyéb tesztelések elvégzése, melyek a devizaárfolyam és pénzkínálat közötti kapcsolat bizonyítását fogják szolgálni.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02858">
    <w:multiLevelType w:val="hybridMultilevel"/>
    <w:lvl w:ilvl="0" w:tplc="95358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02858">
    <w:abstractNumId w:val="150028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5537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