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OPRA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opra.boglarka@student.ms.sapientia.ro</w:t>
            </w:r>
            <w:r w:rsidRPr="001067CD">
              <w:rPr>
                <w:i/>
              </w:rPr>
              <w:br/>
            </w:r>
            <w:r w:rsidR="00A96AEC">
              <w:t>Erdőmérnök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Sepsiszentgyörgyi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Urák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Kezelt és természetes erdők ízeltlábú közösségeinek összehasonlító vizsgálata, különös tekintettel a pókokra (Arachnida: Araneae)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természetes erdő, kezelt erő, Anguliphantes silli, ízeltlábúak, pókok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Az erdők bonyolult történelmi múlttal rendelkeznek Európa egész mérsékelt égövi</w:t>
      </w:r>
      <w:r>
        <w:rPr>
          <w:color w:val="000000"/>
          <w:sz w:val="24"/>
          <w:szCs w:val="24"/>
        </w:rPr>
        <w:br/>
        <w:t xml:space="preserve">területein. Amióta az ember felfedezte az erdőben rejlő értékek kihasználásának lehetőségét</w:t>
      </w:r>
      <w:r>
        <w:rPr>
          <w:color w:val="000000"/>
          <w:sz w:val="24"/>
          <w:szCs w:val="24"/>
        </w:rPr>
        <w:br/>
        <w:t xml:space="preserve">különböző célokra használta fel, az adott kor társadalmi elvárásainak, igényeinek eleget téve.</w:t>
      </w:r>
      <w:r>
        <w:rPr>
          <w:color w:val="000000"/>
          <w:sz w:val="24"/>
          <w:szCs w:val="24"/>
        </w:rPr>
        <w:br/>
        <w:t xml:space="preserve">A középkori kiterjedt erdőpusztítás, majd az intenzív gazdasági célú erdőgazdálkodás ellenére,</w:t>
      </w:r>
      <w:r>
        <w:rPr>
          <w:color w:val="000000"/>
          <w:sz w:val="24"/>
          <w:szCs w:val="24"/>
        </w:rPr>
        <w:br/>
        <w:t xml:space="preserve">egyes európai országokban megmaradtak az őserdők maradványai. Jelen dolgozat célja</w:t>
      </w:r>
      <w:r>
        <w:rPr>
          <w:color w:val="000000"/>
          <w:sz w:val="24"/>
          <w:szCs w:val="24"/>
        </w:rPr>
        <w:br/>
        <w:t xml:space="preserve">összehasonlítani egy természetes és egy kezelt erdő ízeltlábú közösségeit a nagyobb</w:t>
      </w:r>
      <w:r>
        <w:rPr>
          <w:color w:val="000000"/>
          <w:sz w:val="24"/>
          <w:szCs w:val="24"/>
        </w:rPr>
        <w:br/>
        <w:t xml:space="preserve">rendszertani csoportok (taxonok) és pókközösségek szerkezete alapján.</w:t>
      </w:r>
      <w:r>
        <w:rPr>
          <w:color w:val="000000"/>
          <w:sz w:val="24"/>
          <w:szCs w:val="24"/>
        </w:rPr>
        <w:br/>
        <w:t xml:space="preserve">   A kutatás hipotézise, hogy a természetes erdők ízeltlábú közösségeiben nagyobb a</w:t>
      </w:r>
      <w:r>
        <w:rPr>
          <w:color w:val="000000"/>
          <w:sz w:val="24"/>
          <w:szCs w:val="24"/>
        </w:rPr>
        <w:br/>
        <w:t xml:space="preserve">diverzitás és magasabb a természetes élőhelyeket kedvelő fajok aránya. Hipotézisünk igazolása</w:t>
      </w:r>
      <w:r>
        <w:rPr>
          <w:color w:val="000000"/>
          <w:sz w:val="24"/>
          <w:szCs w:val="24"/>
        </w:rPr>
        <w:br/>
        <w:t xml:space="preserve">érdekében egy teljes évet felölelő adatgyűjtést folytattunk egy kezelt és egy természetes</w:t>
      </w:r>
      <w:r>
        <w:rPr>
          <w:color w:val="000000"/>
          <w:sz w:val="24"/>
          <w:szCs w:val="24"/>
        </w:rPr>
        <w:br/>
        <w:t xml:space="preserve">erdőben. A minták begyűjtése talajcsapdák segítségével történt, négy egymást követő</w:t>
      </w:r>
      <w:r>
        <w:rPr>
          <w:color w:val="000000"/>
          <w:sz w:val="24"/>
          <w:szCs w:val="24"/>
        </w:rPr>
        <w:br/>
        <w:t xml:space="preserve">periódusban.</w:t>
      </w:r>
      <w:r>
        <w:rPr>
          <w:color w:val="000000"/>
          <w:sz w:val="24"/>
          <w:szCs w:val="24"/>
        </w:rPr>
        <w:br/>
        <w:t xml:space="preserve">   A két erdőtípusban összesen 7318 ízeltlábút gyűjtöttünk. Annak ellenére, hogy a kezelt</w:t>
      </w:r>
      <w:r>
        <w:rPr>
          <w:color w:val="000000"/>
          <w:sz w:val="24"/>
          <w:szCs w:val="24"/>
        </w:rPr>
        <w:br/>
        <w:t xml:space="preserve">erdőrészletben nagyobb volt az egyedszám, a természetes erdőrészletben magasabb lett a</w:t>
      </w:r>
      <w:r>
        <w:rPr>
          <w:color w:val="000000"/>
          <w:sz w:val="24"/>
          <w:szCs w:val="24"/>
        </w:rPr>
        <w:br/>
        <w:t xml:space="preserve">diverzitás, ami igazolja a hipotézisünket.</w:t>
      </w:r>
      <w:r>
        <w:rPr>
          <w:color w:val="000000"/>
          <w:sz w:val="24"/>
          <w:szCs w:val="24"/>
        </w:rPr>
        <w:br/>
        <w:t xml:space="preserve">   A két erdőrészletben összesen 282 pókot gyűjtöttek a csapdák. Ezek közül a Cetonana</w:t>
      </w:r>
      <w:r>
        <w:rPr>
          <w:color w:val="000000"/>
          <w:sz w:val="24"/>
          <w:szCs w:val="24"/>
        </w:rPr>
        <w:br/>
        <w:t xml:space="preserve">laticeps több európai országban is védett, az Anguliphantes silli endemikus Romániában, és</w:t>
      </w:r>
      <w:r>
        <w:rPr>
          <w:color w:val="000000"/>
          <w:sz w:val="24"/>
          <w:szCs w:val="24"/>
        </w:rPr>
        <w:br/>
        <w:t xml:space="preserve">közel negyven éve ez az első adat róla. Élőhelyigényük alapján mindkét erdőben a</w:t>
      </w:r>
      <w:r>
        <w:rPr>
          <w:color w:val="000000"/>
          <w:sz w:val="24"/>
          <w:szCs w:val="24"/>
        </w:rPr>
        <w:br/>
        <w:t xml:space="preserve">természetes és természetközeli élőhelyeket kedvelő fajok aránya volt a legmagasabb,</w:t>
      </w:r>
      <w:r>
        <w:rPr>
          <w:color w:val="000000"/>
          <w:sz w:val="24"/>
          <w:szCs w:val="24"/>
        </w:rPr>
        <w:br/>
        <w:t xml:space="preserve">ugyanakkor a természetes erdőben a kimondottan természetes élőhelyeket kedvelő pókok</w:t>
      </w:r>
      <w:r>
        <w:rPr>
          <w:color w:val="000000"/>
          <w:sz w:val="24"/>
          <w:szCs w:val="24"/>
        </w:rPr>
        <w:br/>
        <w:t xml:space="preserve">aránya kiemelkedő volt.</w:t>
      </w:r>
      <w:r>
        <w:rPr>
          <w:color w:val="000000"/>
          <w:sz w:val="24"/>
          <w:szCs w:val="24"/>
        </w:rPr>
        <w:br/>
        <w:t xml:space="preserve">   Eredményeink igazolják a hipotézisünket és alátámasztják azt a megfigyelést, ami</w:t>
      </w:r>
      <w:r>
        <w:rPr>
          <w:color w:val="000000"/>
          <w:sz w:val="24"/>
          <w:szCs w:val="24"/>
        </w:rPr>
        <w:br/>
        <w:t xml:space="preserve">szerint a pókok annak ellenére, hogy generalista ragadozók, nagyon érzékenyek az élőhelyek</w:t>
      </w:r>
      <w:r>
        <w:rPr>
          <w:color w:val="000000"/>
          <w:sz w:val="24"/>
          <w:szCs w:val="24"/>
        </w:rPr>
        <w:br/>
        <w:t xml:space="preserve">minőségére és felhasználhatók, mint indikátor szervezetek hasonló kutatásokban.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56060">
    <w:multiLevelType w:val="hybridMultilevel"/>
    <w:lvl w:ilvl="0" w:tplc="69275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56060">
    <w:abstractNumId w:val="85756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718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