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ÁGOTA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kissagi006@gmail.com</w:t>
            </w:r>
            <w:r w:rsidRPr="001067CD">
              <w:rPr>
                <w:i/>
              </w:rPr>
              <w:br/>
            </w:r>
            <w:r w:rsidR="00A96AEC">
              <w:t>Környezettudomány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Tonk Szende-Ágnes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Rápó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jogilag nem szabályozott, újonnan megjelenő mikrószennyező anyag eltávolítása vizes közegből nem hagyományos eljárással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Élesztő; Kémiai kezelések; Tetraciklin; Bioremediáció; Mikroszennyezők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víztisztítási kutatások végzésekor és releváns irodalom áttanulmányozásakor gyakra ütközünk a feltörekvő szennyezők (EP - emerging pollutants), újonnan megjelenő szennyezők, mikroszennyezők (MP - micropollutants) kifejezésekbe. Ezen tény rávilágít arra, hogy környezetünket, ivóvizeinket eddig nem ismert és nem vizsgált anyagok, elsősorban szintetikus szerves/szervetlen vegyi anyagok szennyezik.</w:t>
      </w:r>
      <w:r>
        <w:rPr>
          <w:color w:val="000000"/>
          <w:sz w:val="24"/>
          <w:szCs w:val="24"/>
        </w:rPr>
        <w:br/>
        <w:t xml:space="preserve">Az Europai Unió 2020 decemberében elfogadta az átdolgozott ivóvízirányelvet, amely 2021 januárjában lépett hatályba. A EU hivatalos platformain levő információk alapján a tagállamoknak 2023. január 12-ig kellett átültetniük az irányelvet a nemzeti jogba, és meg kell felelniük az irányelv rendelkezéseinek. Az átdolgozott ivóvíz-irányelv a korszerűsített vízminőségi előírásokat vezetett be az endokrin rendszert károsító és a mikroműanyagokra. Célja az emberi egészség védelme és a még tisztább csapvíz biztosítása. A figyelőlistán szerepelnek az irányértékek, és lehetséges elemzési módszerek. Az (EU) 2020/2184 irányelv 13. cikkének (8) bekezdésével összhangban a 17-béta-ösztradiol (1 ng/l) és a nonilfenol (300 ng/l) van fenn az első megfigyelési listán, az endokrin-romboló tulajdonságaik és az emberi egészségre jelentett kockázatuk miatt.</w:t>
      </w:r>
      <w:r>
        <w:rPr>
          <w:color w:val="000000"/>
          <w:sz w:val="24"/>
          <w:szCs w:val="24"/>
        </w:rPr>
        <w:br/>
        <w:t xml:space="preserve">Megfigyelhető, hogy az antibiotikumok nagy családja nem szerepel az előbb bemutatott irányelvek között, tehát nem állnak rendelkezésünkre irányértékek, megengedett koncentrációk, kimutatási, illetve talán a legfontosabb, hogy nincsenek eltávolítási, semlegesítési módszerek.</w:t>
      </w:r>
      <w:r>
        <w:rPr>
          <w:color w:val="000000"/>
          <w:sz w:val="24"/>
          <w:szCs w:val="24"/>
        </w:rPr>
        <w:br/>
        <w:t xml:space="preserve">TDK dolgozatom témájául, a kutatókat gyakran foglalkozató antibiotikumok mesterséges szennyvízből való remediációját tanulmányoztam. A hagyományos víztisztítási eljárásokkal ellentétben alternatív módszer hatékonyságát és optimalizációját vizsgáltam.</w:t>
      </w:r>
      <w:r>
        <w:rPr>
          <w:color w:val="000000"/>
          <w:sz w:val="24"/>
          <w:szCs w:val="24"/>
        </w:rPr>
        <w:br/>
        <w:t xml:space="preserve">A munkám során a kutatócsoportunk előzetes módszereit és eredményeit felhasználva bizonyítottam, hogy a szennyvíz tisztítható az általunk használt antibiotikumtól, újonnan megjelenő mikroszennyezőtől, illetve a módszer alkalmazható lehet a későbbiekben és belefoglalható az irányelvekbe.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29949">
    <w:multiLevelType w:val="hybridMultilevel"/>
    <w:lvl w:ilvl="0" w:tplc="14841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29949">
    <w:abstractNumId w:val="340299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472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