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SEPÚLVEDA</w:t>
            </w:r>
          </w:p>
          <w:p w:rsidR="00C275A3" w:rsidRDefault="00CA6B74" w:rsidP="00C275A3">
            <w:pPr>
              <w:pStyle w:val="Hallgatokepzes"/>
            </w:pPr>
            <w:r w:rsidRPr="001067CD">
              <w:rPr>
                <w:i/>
              </w:rPr>
              <w:t>dansepulvedao@gmail.com</w:t>
            </w:r>
            <w:r w:rsidRPr="001067CD">
              <w:rPr>
                <w:i/>
              </w:rPr>
              <w:br/>
            </w:r>
            <w:r w:rsidR="00A96AEC">
              <w:t>Kommunikáció és médiatudomány</w:t>
            </w:r>
            <w:r w:rsidR="00A96AEC">
              <w:br/>
            </w:r>
            <w:r w:rsidR="00E77B23">
              <w:t>MA, 4.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Szilágyi Gál Mihaly</w:t>
            </w:r>
          </w:p>
          <w:p w:rsidR="00DB4822" w:rsidRDefault="00DB4822" w:rsidP="00BA6BAF">
            <w:pPr>
              <w:pStyle w:val="Konzulensektitulus"/>
            </w:pPr>
            <w:r w:rsidRPr="00DB4822">
              <w:t>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Implications of Generative Artificial Intelligence in Journalism: Why Media Practitioners Are Not That Safe as They (Hope to) Believe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GenAI; AGI; LLM; Augmented Journalism; News Algorithm.</w:t>
      </w:r>
      <w:r>
        <w:t xml:space="preserve"/>
      </w:r>
    </w:p>
    <w:p>
      <w:pPr>
        <w:widowControl w:val="on"/>
        <w:pBdr/>
        <w:spacing w:before="240" w:after="240" w:line="240" w:lineRule="auto"/>
        <w:ind w:left="0" w:right="0"/>
        <w:jc w:val="left"/>
      </w:pPr>
      <w:r>
        <w:rPr>
          <w:color w:val="000000"/>
          <w:sz w:val="24"/>
          <w:szCs w:val="24"/>
        </w:rPr>
        <w:t xml:space="preserve">The scope of generative artificial intelligence (genAI) systems in news production is unprecedented and expanding rapidly. This thesis explores these developments, arguing that, based on this trajectory, there is no compelling reason to suggest that media practitioners should continue to have their participation at the same scale as today—both in terms of employee numbers and individual tasks—if media corporations decide otherwise, once sufficient technology has been reached. To this end, a qualitative methodology was adopted, drawing on peer-reviewed publications and scholarly literature from leading experts in both the media and computing fields.</w:t>
      </w:r>
    </w:p>
    <w:p>
      <w:pPr>
        <w:widowControl w:val="on"/>
        <w:pBdr/>
        <w:spacing w:before="240" w:after="240" w:line="240" w:lineRule="auto"/>
        <w:ind w:left="0" w:right="0"/>
        <w:jc w:val="left"/>
      </w:pPr>
      <w:r>
        <w:rPr>
          <w:color w:val="000000"/>
          <w:sz w:val="24"/>
          <w:szCs w:val="24"/>
        </w:rPr>
        <w:t xml:space="preserve">The exploration highlights the reconfiguration of media workers in response to the advance of a superintelligent news algorithm that aims to evolve into a (meta)cognitive system. It is concluded that, as the algorithm continues to progress in logical processes that replicate human thinking—and conceptually transcend it—we cannot overlook the potential outcome of many journalists shifting primarily to the role of supervisors. In a global news environment where journalism is predominantly focused on rapidly covered daily issues, with investigative journalism representing only a marginal proportion of the spectrum, we must consider the expendability of human involvement in news production as a viable alternative for media organizations in the decades ahead.</w:t>
      </w:r>
    </w:p>
    <w:p>
      <w:pPr>
        <w:widowControl w:val="on"/>
        <w:pBdr/>
        <w:spacing w:before="240" w:after="240" w:line="240" w:lineRule="auto"/>
        <w:ind w:left="0" w:right="0"/>
        <w:jc w:val="left"/>
      </w:pPr>
      <w:r>
        <w:rPr>
          <w:color w:val="000000"/>
          <w:sz w:val="24"/>
          <w:szCs w:val="24"/>
        </w:rPr>
        <w:t xml:space="preserve">This stance emphasizes that the information society is at risk if we do not safeguard the values of humanity within the industry. It is proposed that, in the future, if human judgment in news-making continues to be involved at any level, it may well be because it will ultimately be a decision of the media outlets to include it—or of humanity, which demands it as a universal principle—rather than because there is no alternative artificial reasoning capable of mirroring our own in interpreting facts.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65827">
    <w:multiLevelType w:val="hybridMultilevel"/>
    <w:lvl w:ilvl="0" w:tplc="96126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65827">
    <w:abstractNumId w:val="583658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519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