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PELYÁK LEJLA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lejlapelyak@gmail.com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Dajnoki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Kotsis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munkahelyi jóllét dimenziói: az elégedettség és a munka-magánélet egyensúlyának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munkahelyi jóllét; munkavállalói elégedettség; munka-magánélet egyensúlya; Kano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munkavállalók preferenciái évről-évre változnak, így a munkaadóknak oda kell figyelni, hogy a munkahelyi jóllétet befolyásoló tényezőket úgy alakítsák át, hogy azok megfeleljenek az átalakult munkavállalói elvárásoknak.</w:t>
      </w:r>
      <w:r>
        <w:rPr>
          <w:color w:val="000000"/>
          <w:sz w:val="24"/>
          <w:szCs w:val="24"/>
        </w:rPr>
        <w:br/>
        <w:t xml:space="preserve">A kutatás során arra keresek választ, hogy a well-being elemei közül az elégedettséget és munka-magánélet egyensúlyát milyen tényezők befolyásolják szignifikánsan? Illetve mely szocio-demográfiai változók vannak hatással a válaszadók munkahelyi jóllét érzetére?</w:t>
      </w:r>
      <w:r>
        <w:rPr>
          <w:color w:val="000000"/>
          <w:sz w:val="24"/>
          <w:szCs w:val="24"/>
        </w:rPr>
        <w:br/>
        <w:t xml:space="preserve">A kutatás célja, hogy hazai és nemzetközi szakirodalom alapján átfogó képet adjak a munkahelyi jóllét fogalmáról és meghatározó elemeiről, illetve primer kutatás keretében feltárjam a munkavállalók jólléttel kapcsolatos preferenciáit és a szervezetek well-being gyakorlatait.</w:t>
      </w:r>
      <w:r>
        <w:rPr>
          <w:color w:val="000000"/>
          <w:sz w:val="24"/>
          <w:szCs w:val="24"/>
        </w:rPr>
        <w:br/>
        <w:t xml:space="preserve">A szakirodalmi áttekintést a PRISMA protokoll alapján készítettem el. A primer kutatás kvantitatív és kvalitatív módszerekre épült. Online kérdőív (n=323) formájában mértem fel a well-beinget befolyásoló tényezők hatását a jóllétre és egyes tényezők fontosságát. A Kano modell alkalmazásának célja, hogy feltérképezzem az egyes munkahelyi tényezők jóllétre gyakorolt hatását. Emellett bináris logisztikus regressziót és K-középpontú klaszter analízist alkalmaztam, illetve két nemzetközi szinten is elismert élelmiszeripari szervezet HR vezetőjével készítettem interjút.</w:t>
      </w:r>
      <w:r>
        <w:rPr>
          <w:color w:val="000000"/>
          <w:sz w:val="24"/>
          <w:szCs w:val="24"/>
        </w:rPr>
        <w:br/>
        <w:t xml:space="preserve">A Kano modell alapján a munkahelyi jellemzők között nincsenek alapelvárások. A fizetés, a felettesekkel és munkatársakkal való kapcsolat teljesítményjellemző. A rugalmas munkaidőbeosztás és távmunka vonzó tényezőknek számít, hasonlóan a karrierlehetőségekhez. A határozott idejű munkaszerződés pedig semleges jellemző.</w:t>
      </w:r>
      <w:r>
        <w:rPr>
          <w:color w:val="000000"/>
          <w:sz w:val="24"/>
          <w:szCs w:val="24"/>
        </w:rPr>
        <w:br/>
        <w:t xml:space="preserve">A munkavégzés jellege és a végzettség a legjelentősebb szocio-demográfiai változók, melyek hat, illetve öt jólléti tényezőre vannak hatással. Négyet befolyásol a nem, lakhely, jövedelmi helyzet, illetve szféra. A beosztás három tényezőre hat és a legkevésbe a generáció, a családi állapot, az iparág és a csoportos munkavégzés befolyásolja a jólléti tényezők hatását.</w:t>
      </w:r>
      <w:r>
        <w:rPr>
          <w:color w:val="000000"/>
          <w:sz w:val="24"/>
          <w:szCs w:val="24"/>
        </w:rPr>
        <w:br/>
        <w:t xml:space="preserve">A munka-magánélet egyensúlyát befolyásoló tényezők alapján három klasztert alakítottam ki, melyek között eltérést találtam az egyéb juttatások, távmunka és rugalmas munkaidőbeosztás jóllétre gyakorolt hatásában.</w:t>
      </w:r>
      <w:r>
        <w:rPr>
          <w:color w:val="000000"/>
          <w:sz w:val="24"/>
          <w:szCs w:val="24"/>
        </w:rPr>
        <w:br/>
        <w:t xml:space="preserve">Összegzésként megállapítható, hogy a vállalatoknak a jólléti gyakorlatok során kiemelkedő figyelmet kell szentelni a munkatársi kapcsolatokra és a fizetésre, melyeket befolyásol a nem, a végzettség, a beosztás és a munkavégzés jellege.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00415">
    <w:multiLevelType w:val="hybridMultilevel"/>
    <w:lvl w:ilvl="0" w:tplc="77305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00415">
    <w:abstractNumId w:val="46100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512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