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LEJLA PELYÁK</w:t>
            </w:r>
          </w:p>
          <w:p w:rsidR="00C275A3" w:rsidRDefault="00CA6B74" w:rsidP="00C275A3">
            <w:pPr>
              <w:pStyle w:val="Hallgatokepzes"/>
            </w:pPr>
            <w:r w:rsidRPr="001067CD">
              <w:rPr>
                <w:i/>
              </w:rPr>
              <w:t>lejlapelyak@gmail.com</w:t>
            </w:r>
            <w:r w:rsidRPr="001067CD">
              <w:rPr>
                <w:i/>
              </w:rPr>
              <w:br/>
            </w:r>
            <w:r w:rsidR="00A96AEC">
              <w:t>Management and leadership</w:t>
            </w:r>
            <w:r w:rsidR="00A96AEC">
              <w:br/>
            </w:r>
            <w:r w:rsidR="00E77B23">
              <w:t>MA, 4.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Krisztina Dajnoki</w:t>
            </w:r>
          </w:p>
          <w:p w:rsidR="00DB4822" w:rsidRDefault="00DB4822" w:rsidP="00BA6BAF">
            <w:pPr>
              <w:pStyle w:val="Konzulensektitulus"/>
            </w:pPr>
            <w:r w:rsidRPr="00DB4822">
              <w:t>professor, DE GTK</w:t>
            </w:r>
          </w:p>
        </w:tc>
      </w:tr>
      <w:tr w:rsidR="00DB4822" w:rsidTr="00DB4822">
        <w:tc>
          <w:tcPr>
            <w:tcW w:w="9854" w:type="dxa"/>
          </w:tcPr>
          <w:p w:rsidR="00DB4822" w:rsidRPr="00DB4822" w:rsidRDefault="00DB4822" w:rsidP="00BA6BAF">
            <w:pPr>
              <w:pStyle w:val="Konzulenseknev"/>
            </w:pPr>
            <w:r w:rsidRPr="00DB4822">
              <w:t>Ágnes Kotsis</w:t>
            </w:r>
          </w:p>
          <w:p w:rsidR="00DB4822" w:rsidRDefault="00DB4822" w:rsidP="00BA6BAF">
            <w:pPr>
              <w:pStyle w:val="Konzulensektitulus"/>
            </w:pPr>
            <w:r w:rsidRPr="00DB4822">
              <w:t>senior lecturer,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Dimensions of well-being at work: the relationship of satisfaction and work-life balance on work performance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workplace well-being; job satisfaction; work-life balance; Kano model</w:t>
      </w:r>
      <w:r>
        <w:t xml:space="preserve"/>
      </w:r>
    </w:p>
    <w:p>
      <w:pPr>
        <w:widowControl w:val="on"/>
        <w:pBdr/>
        <w:spacing w:before="240" w:after="240" w:line="240" w:lineRule="auto"/>
        <w:ind w:left="0" w:right="0"/>
        <w:jc w:val="left"/>
      </w:pPr>
      <w:r>
        <w:rPr>
          <w:color w:val="000000"/>
          <w:sz w:val="24"/>
          <w:szCs w:val="24"/>
        </w:rPr>
        <w:t xml:space="preserve">Employees' preferences change from year to year, so employers need to pay attention to adapt the factors that influence well-being at work to meet changing employee expectations.</w:t>
      </w:r>
      <w:r>
        <w:rPr>
          <w:color w:val="000000"/>
          <w:sz w:val="24"/>
          <w:szCs w:val="24"/>
        </w:rPr>
        <w:br/>
        <w:t xml:space="preserve">In this research, I am looking for answers to these questions: which of the elements of well-being significantly influence satisfaction and work-life balance? In particular, which socio-demographic variables influence respondents' perceptions of well-being at work?</w:t>
      </w:r>
    </w:p>
    <w:p>
      <w:pPr>
        <w:widowControl w:val="on"/>
        <w:pBdr/>
        <w:spacing w:before="240" w:after="240" w:line="240" w:lineRule="auto"/>
        <w:ind w:left="0" w:right="0"/>
        <w:jc w:val="left"/>
      </w:pPr>
      <w:r>
        <w:rPr>
          <w:color w:val="000000"/>
          <w:sz w:val="24"/>
          <w:szCs w:val="24"/>
        </w:rPr>
        <w:t xml:space="preserve">The aim of the research is to provide a comprehensive picture of the concept and determinants of well-being at work based on national and international literature, and to explore employees' well-being preferences and organisations' well-being practices through primary research.</w:t>
      </w:r>
    </w:p>
    <w:p>
      <w:pPr>
        <w:widowControl w:val="on"/>
        <w:pBdr/>
        <w:spacing w:before="240" w:after="240" w:line="240" w:lineRule="auto"/>
        <w:ind w:left="0" w:right="0"/>
        <w:jc w:val="left"/>
      </w:pPr>
      <w:r>
        <w:rPr>
          <w:color w:val="000000"/>
          <w:sz w:val="24"/>
          <w:szCs w:val="24"/>
        </w:rPr>
        <w:t xml:space="preserve">The literature review was based on the PRISMA protocol. The primary research was based on quantitative and qualitative methods. An online questionnaire (n=323) was used to measure the impact of factors influencing well-being on well-being and the importance of some factors. The purpose of applying the Kano model is to explore the impact of specific workplace factors on well-being. In addition, I used binary logistic regression and K-means cluster analysis and interviewed HR managers from two internationally renowned food industry organisations.</w:t>
      </w:r>
    </w:p>
    <w:p>
      <w:pPr>
        <w:widowControl w:val="on"/>
        <w:pBdr/>
        <w:spacing w:before="240" w:after="240" w:line="240" w:lineRule="auto"/>
        <w:ind w:left="0" w:right="0"/>
        <w:jc w:val="left"/>
      </w:pPr>
      <w:r>
        <w:rPr>
          <w:color w:val="000000"/>
          <w:sz w:val="24"/>
          <w:szCs w:val="24"/>
        </w:rPr>
        <w:t xml:space="preserve">Based on the Kano model, there are no "must-be" component among job characteristics. Salary, relationship with supervisors and co-workers are "one-dimensional" characteristics. Flexible working hours and teleworking are considered "attractive" factors, as are career opportunities. And fixed-term contract is an "indifferent" component.</w:t>
      </w:r>
    </w:p>
    <w:p>
      <w:pPr>
        <w:widowControl w:val="on"/>
        <w:pBdr/>
        <w:spacing w:before="240" w:after="240" w:line="240" w:lineRule="auto"/>
        <w:ind w:left="0" w:right="0"/>
        <w:jc w:val="left"/>
      </w:pPr>
      <w:r>
        <w:rPr>
          <w:color w:val="000000"/>
          <w:sz w:val="24"/>
          <w:szCs w:val="24"/>
        </w:rPr>
        <w:t xml:space="preserve">The nature of work and education are the most important socio-demographic variables, affecting six and five well-being factors respectively. Four are influenced by gender, residence, income status and sector. Occupation influences three factors and generation, marital status, industry and group work have the least influence on the well-being factors.</w:t>
      </w:r>
    </w:p>
    <w:p>
      <w:pPr>
        <w:widowControl w:val="on"/>
        <w:pBdr/>
        <w:spacing w:before="240" w:after="240" w:line="240" w:lineRule="auto"/>
        <w:ind w:left="0" w:right="0"/>
        <w:jc w:val="left"/>
      </w:pPr>
      <w:r>
        <w:rPr>
          <w:color w:val="000000"/>
          <w:sz w:val="24"/>
          <w:szCs w:val="24"/>
        </w:rPr>
        <w:t xml:space="preserve">Based on the factors influencing work-life balance, three clusters were formed, with differences in the impact of other benefits, teleworking and flexible working hours on well-being.</w:t>
      </w:r>
    </w:p>
    <w:p>
      <w:pPr>
        <w:widowControl w:val="on"/>
        <w:pBdr/>
        <w:spacing w:before="240" w:after="240" w:line="240" w:lineRule="auto"/>
        <w:ind w:left="0" w:right="0"/>
        <w:jc w:val="left"/>
      </w:pPr>
      <w:r>
        <w:rPr>
          <w:color w:val="000000"/>
          <w:sz w:val="24"/>
          <w:szCs w:val="24"/>
        </w:rPr>
        <w:t xml:space="preserve">In conclusion, companies should pay particular attention to employee relations and pay in their well-being practices, which are influenced by gender, education, job title and the nature of the job.</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362499">
    <w:multiLevelType w:val="hybridMultilevel"/>
    <w:lvl w:ilvl="0" w:tplc="521235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362499">
    <w:abstractNumId w:val="473624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27617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