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ÁDÁM LENGYEL</w:t>
            </w:r>
          </w:p>
          <w:p w:rsidR="00C275A3" w:rsidRDefault="00CA6B74" w:rsidP="00C275A3">
            <w:pPr>
              <w:pStyle w:val="Hallgatokepzes"/>
            </w:pPr>
            <w:r w:rsidRPr="001067CD">
              <w:rPr>
                <w:i/>
              </w:rPr>
              <w:t>adam.lengyel.ladam@gmail.com</w:t>
            </w:r>
            <w:r w:rsidRPr="001067CD">
              <w:rPr>
                <w:i/>
              </w:rPr>
              <w:br/>
            </w:r>
            <w:r w:rsidR="00A96AEC">
              <w:t>Finance and accounting</w:t>
            </w:r>
            <w:r w:rsidR="00A96AEC">
              <w:br/>
            </w:r>
            <w:r w:rsidR="00E77B23">
              <w:t>BA, 7. semester</w:t>
            </w:r>
          </w:p>
          <w:p w:rsidR="00C265CE" w:rsidRPr="009E5FF1" w:rsidRDefault="00E77B23" w:rsidP="00BA6BAF">
            <w:pPr>
              <w:pStyle w:val="Hallgatointezmeny-kar"/>
              <w:rPr>
                <w:b/>
                <w:caps/>
              </w:rPr>
            </w:pPr>
            <w:r>
              <w:t>University of Debrecen</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Partícia Becsky-Nagy</w:t>
            </w:r>
          </w:p>
          <w:p w:rsidR="00DB4822" w:rsidRDefault="00DB4822" w:rsidP="00BA6BAF">
            <w:pPr>
              <w:pStyle w:val="Konzulensektitulus"/>
            </w:pPr>
            <w:r w:rsidRPr="00DB4822">
              <w:t>associate professor and head of department, DE GTK</w:t>
            </w:r>
          </w:p>
        </w:tc>
      </w:tr>
      <w:tr w:rsidR="00DB4822" w:rsidTr="00DB4822">
        <w:tc>
          <w:tcPr>
            <w:tcW w:w="9854" w:type="dxa"/>
          </w:tcPr>
          <w:p w:rsidR="00DB4822" w:rsidRPr="00DB4822" w:rsidRDefault="00DB4822" w:rsidP="00BA6BAF">
            <w:pPr>
              <w:pStyle w:val="Konzulenseknev"/>
            </w:pPr>
            <w:r w:rsidRPr="00DB4822">
              <w:t>Gergely Kauker</w:t>
            </w:r>
          </w:p>
          <w:p w:rsidR="00DB4822" w:rsidRDefault="00DB4822" w:rsidP="00BA6BAF">
            <w:pPr>
              <w:pStyle w:val="Konzulensektitulus"/>
            </w:pPr>
            <w:r w:rsidRPr="00DB4822">
              <w:t>head of department,  National Bank of Hungary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Green premium – Is it an existing phenomenon? A comparative analysis of the performance of ESG and conventional equity funds in the Eurozone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Sustainability; Profitability; Performance factors; ESG scores; Regulation</w:t>
      </w:r>
      <w:r>
        <w:t xml:space="preserve"/>
      </w:r>
    </w:p>
    <w:p>
      <w:pPr>
        <w:widowControl w:val="on"/>
        <w:pBdr/>
        <w:spacing w:before="240" w:after="240" w:line="240" w:lineRule="auto"/>
        <w:ind w:left="0" w:right="0"/>
        <w:jc w:val="left"/>
      </w:pPr>
      <w:r>
        <w:rPr>
          <w:color w:val="000000"/>
          <w:sz w:val="24"/>
          <w:szCs w:val="24"/>
        </w:rPr>
        <w:t xml:space="preserve">The role of sustainability is becoming increasingly significant within the financial system. This paper focuses on green capital market investments, particularly green investment funds. By analyzing secondary sources, I compile the key components of a European-oriented green investment framework. I present the most commonly used green investment strategies, ESG scoring systems, and the regulatory role of the European Union.</w:t>
      </w:r>
    </w:p>
    <w:p>
      <w:pPr>
        <w:widowControl w:val="on"/>
        <w:pBdr/>
        <w:spacing w:before="240" w:after="240" w:line="240" w:lineRule="auto"/>
        <w:ind w:left="0" w:right="0"/>
        <w:jc w:val="left"/>
      </w:pPr>
      <w:r>
        <w:rPr>
          <w:color w:val="000000"/>
          <w:sz w:val="24"/>
          <w:szCs w:val="24"/>
        </w:rPr>
        <w:t xml:space="preserve">Regarding ESG, concerns often arise about the dilemma of green premiums, as some market participants believe that transitioning from conventional investment products to green ones entails additional costs and results in moderate returns. In the analytical section of my research, I compare the historical performance of indicators used within investment funds across various ESG categories and relative to market benchmarks. Subsequently, using the methodology of multivariable linear regression, I examine the direction and strength of the relationships between ESG factors, defined as explanatory variables, and performance indicators, defined as dependent variables.</w:t>
      </w:r>
    </w:p>
    <w:p>
      <w:pPr>
        <w:widowControl w:val="on"/>
        <w:pBdr/>
        <w:spacing w:before="240" w:after="240" w:line="240" w:lineRule="auto"/>
        <w:ind w:left="0" w:right="0"/>
        <w:jc w:val="left"/>
      </w:pPr>
      <w:r>
        <w:rPr>
          <w:color w:val="000000"/>
          <w:sz w:val="24"/>
          <w:szCs w:val="24"/>
        </w:rPr>
        <w:t xml:space="preserve">The research seeks to answer whether the green premium phenomenon exists in European markets and whether there is any demonstrable, significant relationship between ESG factors and financial profitability. The analysis focuses on equity investment funds in the Eurozone, covering the period from February 28, 2014, to February 29, 2024, utilizing data from the LSEG Workspace Lipper database.</w:t>
      </w:r>
    </w:p>
    <w:p>
      <w:pPr>
        <w:widowControl w:val="on"/>
        <w:pBdr/>
        <w:spacing w:before="240" w:after="240" w:line="240" w:lineRule="auto"/>
        <w:ind w:left="0" w:right="0"/>
        <w:jc w:val="left"/>
      </w:pPr>
      <w:r>
        <w:rPr>
          <w:color w:val="000000"/>
          <w:sz w:val="24"/>
          <w:szCs w:val="24"/>
        </w:rPr>
        <w:t xml:space="preserve">The findings suggest that the efficient market hypothesis holds true. Additionally, differentiation based on ESG categories has become significant after the establishment of legal and institutional frameworks. The existence of the green premium phenomenon is supported in the short term by the underperformance of ESG funds, which can be interpreted through investment and opportunity costs. The regression model reveals moderately strong significant relationships between ESG factors and financial indicators. Specifically, ESG pillar scores and net asset values show positive relationships with financial profitability, whereas classification by SFDR categories and ESG controversy scores demonstrate negative associations.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071478">
    <w:multiLevelType w:val="hybridMultilevel"/>
    <w:lvl w:ilvl="0" w:tplc="188040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071478">
    <w:abstractNumId w:val="570714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20188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