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NYUL DÁVID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nyuldavid10@gmail.com</w:t>
            </w:r>
            <w:r w:rsidRPr="001067CD">
              <w:rPr>
                <w:i/>
              </w:rPr>
              <w:br/>
            </w:r>
            <w:r w:rsidR="00A96AEC">
              <w:t>Számvitel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 Ildikó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Tőzsdén jegyzett futballklubok jellegzetes tételeinek elszámolása és megjelenítése az IFRS pénzügyi kimutatásokban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számvitel; labdarúgás; tőzsde; játékosjog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labdarúgás több mint egy sportág, óriási hatással van a világra, gazdasági, kulturális, politikai és technológiai szempontból is. Az iparágban milliárd eurók forognak évente és ezek a pénzáramlások a gazdaság számos szereplőjére befolyással vannak.</w:t>
      </w:r>
      <w:r>
        <w:rPr>
          <w:color w:val="000000"/>
          <w:sz w:val="24"/>
          <w:szCs w:val="24"/>
        </w:rPr>
        <w:br/>
        <w:t xml:space="preserve">Dolgozatomban elsődlegesen arra a kérdésre kerestem a választ, hogy a tőzsdén jegyzett futballklubok miként számolják el az egyes jellegzetes tételeiket és hogyan jelenítik meg azokat a Nemzetközi Pénzügyi Beszámolási Standardok (IFRS-ek) szerint összeállított konszolidált pénzügyi kimutatásaikban, valamint ezek mennyire vannak összhangban az UEFA pénzügyi szabályzatával. Az átfogó kép érdekében a Deloitte által összeállított Football Money League húszas listáján szereplő mindhárom tőzsdén jegyzett labdarúgóklubot figyelembe vettem, így a Manchester United, a Juventus és a Borussia Dortmund éves beszámolói képezték az elemzésem tárgyát.</w:t>
      </w:r>
      <w:r>
        <w:rPr>
          <w:color w:val="000000"/>
          <w:sz w:val="24"/>
          <w:szCs w:val="24"/>
        </w:rPr>
        <w:br/>
        <w:t xml:space="preserve">Tartalomelemzés módszerével először megvizsgáltam azokat az eseményeket, amik a leginkább hatottak a futballrészvények árfolyamaira. A célom az volt, hogy átfogó képet kapjak azokról a tényezőkről, amik a legnagyobb mértékben befolyásolták a futballklubok részvényeinek tőzsdei árfolyamait. Ezt követően dokumentumelemzés alkalmazásával az iparágban megjelenő jellegzetes tételek számviteli szempontból történő vizsgálata következett. A fő célom az volt, hogy bemutassam a játékosjogok IFRS standardok szerinti kezdeti és követő értékelését a játékosok megszerzésének négy formáját (vásárolt, szabadon igazolható, saját nevelésű és kölcsönjátékos) tekintve és ezek éves beszámolókban való megjelenítését. Végül pedig az IFRS 15 standard alapján bevételelemzésre került sor. A klubok közötti különbségeket összehasonlító elemzés segítségével tártam fel.</w:t>
      </w:r>
      <w:r>
        <w:rPr>
          <w:color w:val="000000"/>
          <w:sz w:val="24"/>
          <w:szCs w:val="24"/>
        </w:rPr>
        <w:br/>
        <w:t xml:space="preserve">Következtetésképpen megállapítható, hogy a futballrészvények árfolyama folyamatosan ingadozott a vizsgált időszak során, amely változékonyság elsődlegesen a labdarúgóklubok sportteljesítményével állt összefüggésben. A jellegzetes tételekkel kapcsolatban levont legfontosabb következtetések közé tartozott, hogy a pénzügyi kimutatásokban való közzététel elegendő a megbízható és valós kép bemutatása érdekében, de a három vizsgált futballklub közül csak a Juventus prezentálta részletesen a játékosjogokban bekövetkezett változásokat.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17509">
    <w:multiLevelType w:val="hybridMultilevel"/>
    <w:lvl w:ilvl="0" w:tplc="56652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17509">
    <w:abstractNumId w:val="219175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2929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