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NYUL</w:t>
            </w:r>
          </w:p>
          <w:p w:rsidR="00C275A3" w:rsidRDefault="00CA6B74" w:rsidP="00C275A3">
            <w:pPr>
              <w:pStyle w:val="Hallgatokepzes"/>
            </w:pPr>
            <w:r w:rsidRPr="001067CD">
              <w:rPr>
                <w:i/>
              </w:rPr>
              <w:t>nyuldavid10@gmail.com</w:t>
            </w:r>
            <w:r w:rsidRPr="001067CD">
              <w:rPr>
                <w:i/>
              </w:rPr>
              <w:br/>
            </w:r>
            <w:r w:rsidR="00A96AEC">
              <w:t>Accountancy</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Ildikó Orbán</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Settlement of typical items of listed football clubs and their presentation in IFRS financial statements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 football; stock exchange; player's registration right</w:t>
      </w:r>
      <w:r>
        <w:t xml:space="preserve"/>
      </w:r>
    </w:p>
    <w:p>
      <w:pPr>
        <w:widowControl w:val="on"/>
        <w:pBdr/>
        <w:spacing w:before="240" w:after="240" w:line="240" w:lineRule="auto"/>
        <w:ind w:left="0" w:right="0"/>
        <w:jc w:val="left"/>
      </w:pPr>
      <w:r>
        <w:rPr>
          <w:color w:val="000000"/>
          <w:sz w:val="24"/>
          <w:szCs w:val="24"/>
        </w:rPr>
        <w:t xml:space="preserve">Football is more than just a sport, it has a huge impact on the world, in economic, cultural, political and technological aspects. Billions of euros are turned over to the industry every year and these cash flows influence many economic operators.</w:t>
      </w:r>
      <w:r>
        <w:rPr>
          <w:color w:val="000000"/>
          <w:sz w:val="24"/>
          <w:szCs w:val="24"/>
        </w:rPr>
        <w:br/>
        <w:t xml:space="preserve">In my paper, my main focus was to answer the question how listed football clubs account for and present their specific items in their consolidated financial statements prepared in accordance with International Financial Reporting Standards (IFRS) and how these are consistent with UEFA’s financial regulations. In order to get a comprehensive view, I have taken into account all the three listed football clubs included in Deloitte Football Money League list of 20, so that the financial statements of Manchester United, Juventus and Borussia Dortmund were the subject of my analysis.</w:t>
      </w:r>
      <w:r>
        <w:rPr>
          <w:color w:val="000000"/>
          <w:sz w:val="24"/>
          <w:szCs w:val="24"/>
        </w:rPr>
        <w:br/>
        <w:t xml:space="preserve">Firstly, using content analysis, I examined the events that affected the football share prices the most. My aim was to get an overview of the factors that had the most significant impact on the share prices of the football clubs. Subsequently, using documentary analysis, I examined from accounting perspectives the typical items appearing in the industry. My main objective was to demonstrate the initial and subsequent measurement of players’ registration rights in accordance with IFRS standards in terms of the four forms of player acquisition (bought, free agent, home-grown and loan) and their presentation in the financial statements. Finally, a revenue analysis was carried out based on IFRS 15. The differences between the clubs were revealed using comparative analysis.</w:t>
      </w:r>
      <w:r>
        <w:rPr>
          <w:color w:val="000000"/>
          <w:sz w:val="24"/>
          <w:szCs w:val="24"/>
        </w:rPr>
        <w:br/>
        <w:t xml:space="preserve">As a conclusion, it can be said that the price of football shares has fluctuated over the examined period, with the volatility being mainly related to the sporting performance of the football clubs. The most important conclusion regarding the typical items was that the presentation in the financial statements is sufficient to provide a true and fair view, but among the three football clubs analysed, only Juventus presented in depth the changes in players’ registration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68121">
    <w:multiLevelType w:val="hybridMultilevel"/>
    <w:lvl w:ilvl="0" w:tplc="41155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68121">
    <w:abstractNumId w:val="41568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593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