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MÓNIKA BOROS</w:t>
            </w:r>
          </w:p>
          <w:p w:rsidR="00C275A3" w:rsidRDefault="00CA6B74" w:rsidP="00C275A3">
            <w:pPr>
              <w:pStyle w:val="Hallgatokepzes"/>
            </w:pPr>
            <w:r w:rsidRPr="001067CD">
              <w:rPr>
                <w:i/>
              </w:rPr>
              <w:t>borosh19@gmail.com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Andras Feher PhD</w:t>
            </w:r>
          </w:p>
          <w:p w:rsidR="00DB4822" w:rsidRDefault="00DB4822" w:rsidP="00BA6BAF">
            <w:pPr>
              <w:pStyle w:val="Konzulensektitulus"/>
            </w:pPr>
            <w:r w:rsidRPr="00DB4822">
              <w:t>associate professor, DE GTK</w:t>
            </w:r>
          </w:p>
        </w:tc>
      </w:tr>
      <w:tr w:rsidR="00DB4822" w:rsidTr="00DB4822">
        <w:tc>
          <w:tcPr>
            <w:tcW w:w="9854" w:type="dxa"/>
          </w:tcPr>
          <w:p w:rsidR="00DB4822" w:rsidRPr="00DB4822" w:rsidRDefault="00DB4822" w:rsidP="00BA6BAF">
            <w:pPr>
              <w:pStyle w:val="Konzulenseknev"/>
            </w:pPr>
            <w:r w:rsidRPr="00DB4822">
              <w:t>Eniko Kontor PhD</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Rebranding with Eye-Tracking Research at a Food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rebranding; brand identity; branding; food industry; eye-tracking</w:t>
      </w:r>
      <w:r>
        <w:t xml:space="preserve"/>
      </w:r>
    </w:p>
    <w:p>
      <w:pPr>
        <w:widowControl w:val="on"/>
        <w:pBdr/>
        <w:spacing w:before="240" w:after="240" w:line="240" w:lineRule="auto"/>
        <w:ind w:left="0" w:right="0"/>
        <w:jc w:val="left"/>
      </w:pPr>
      <w:r>
        <w:rPr>
          <w:color w:val="000000"/>
          <w:sz w:val="24"/>
          <w:szCs w:val="24"/>
        </w:rPr>
        <w:t xml:space="preserve">Brand rebranding can be of strategic importance for companies, including as a way to increase or maintain competitiveness and better adapt to changing market needs and consumer preferences. At the same time, a rebranding exercise can be challenging because it has the potential to change the entire brand identity. Companies must therefore plan the process carefully, taking into account consumer reactions and changes in the market environment.</w:t>
      </w:r>
      <w:r>
        <w:rPr>
          <w:color w:val="000000"/>
          <w:sz w:val="24"/>
          <w:szCs w:val="24"/>
        </w:rPr>
        <w:br/>
        <w:t xml:space="preserve">In writing this study, I have placed particular emphasis on a comprehensive analysis of the process of brand rebranding in a given food company. My main objective was to identify further directions and possible improvements in the company's communication strategy. In addition, I sought to assess the change in the brand identity of the company as a result of the rebranding.</w:t>
      </w:r>
      <w:r>
        <w:rPr>
          <w:color w:val="000000"/>
          <w:sz w:val="24"/>
          <w:szCs w:val="24"/>
        </w:rPr>
        <w:br/>
        <w:t xml:space="preserve">I started the research by defining the basic concepts and then continued by analysing the literature and academic articles in the field of brand rebranding and eye-camera studies. The primary part consisted of an eye-camera survey, a follow-up questionnaire and a focus group interview. The eye-camera research involved looking at the company's past and present packaging, social media profile and posters. 30 people took part in the research and completed a follow-up questionnaire to provide feedback on their experiences and observations. I then conducted focus group research to gather further information, for example by surveying brand perceptions of the old and new brand identity and by creating storyboards for potential commercials based on the new identity.</w:t>
      </w:r>
      <w:r>
        <w:rPr>
          <w:color w:val="000000"/>
          <w:sz w:val="24"/>
          <w:szCs w:val="24"/>
        </w:rPr>
        <w:br/>
        <w:t xml:space="preserve">The new design is still alien to the subjects interviewed, or they think the brand has undergone too much change. They also stated that the new look was much more clean and consistent, so overall the feedback from the focus group participants was positive. In addition, the brand personality has been renewed, reflecting a younger and more conscious character, in line with the preferences and expectations of the target group.</w:t>
      </w:r>
      <w:r>
        <w:rPr>
          <w:color w:val="000000"/>
          <w:sz w:val="24"/>
          <w:szCs w:val="24"/>
        </w:rPr>
        <w:br/>
        <w:t xml:space="preserve">Among my recommendations, I suggested that some of the design elements and communication techniques of the past should be integrated into the current one, possibly even giving the product categories a separate personality, thus adding a playfulness to the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66486">
    <w:multiLevelType w:val="hybridMultilevel"/>
    <w:lvl w:ilvl="0" w:tplc="97506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66486">
    <w:abstractNumId w:val="34066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954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