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PHAM THI ANH TUYET</w:t>
            </w:r>
          </w:p>
          <w:p w:rsidR="00C275A3" w:rsidRDefault="00CA6B74" w:rsidP="00C275A3">
            <w:pPr>
              <w:pStyle w:val="Hallgatokepzes"/>
            </w:pPr>
            <w:r w:rsidRPr="001067CD">
              <w:rPr>
                <w:i/>
              </w:rPr>
              <w:t>anhtuyetpt02@gmail.com</w:t>
            </w:r>
            <w:r w:rsidRPr="001067CD">
              <w:rPr>
                <w:i/>
              </w:rPr>
              <w:br/>
            </w:r>
            <w:r w:rsidR="00A96AEC">
              <w:t>nemzetközi kapcsolatok</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Lídia</w:t>
            </w:r>
          </w:p>
          <w:p w:rsidR="00DB4822" w:rsidRDefault="00DB4822" w:rsidP="00BA6BAF">
            <w:pPr>
              <w:pStyle w:val="Konzulensektitulus"/>
            </w:pPr>
            <w:r w:rsidRPr="00DB4822">
              <w:t>külsős - kutató,  Jogelméleti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Kétoldalú együttműködés a vietnami-kínai határon átnyúló nőcsempészet megakadályozása érdekében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nőkereskedelem, Vietnam-Kína együttműködés, emberkereskedelem elleni politika, emberkereskedelem megelőzése, Vietnam - Kína határ</w:t>
      </w:r>
      <w:r>
        <w:t xml:space="preserve"/>
      </w:r>
    </w:p>
    <w:p>
      <w:pPr>
        <w:widowControl w:val="on"/>
        <w:pBdr/>
        <w:spacing w:before="240" w:after="240" w:line="240" w:lineRule="auto"/>
        <w:ind w:left="0" w:right="0"/>
        <w:jc w:val="left"/>
      </w:pPr>
      <w:r>
        <w:rPr>
          <w:color w:val="000000"/>
          <w:sz w:val="24"/>
          <w:szCs w:val="24"/>
        </w:rPr>
        <w:t xml:space="preserve">A határokon átnyúló embercsempészet súlyos emberi jogsértést jelent világszerte, és szorosan összefügg a migrációval, amelyet gyakran a toló- és húzófaktorok tekintetében feltételeznek. Mindazonáltal a legtöbb embercsempészettel foglalkozó tudományos tanulmány kizárólag a származási országban vagy a célországban lévő húzó tényezőkre összpontosított. Ez a dolgozat a vietnami-kínai határon átívelő embercsempészet kontextuális toló- és húzó tényezőivel foglalkozik a küldő és fogadó országokban, a vietnami etnikai kisebbségekhez tartozó nőkre és lányokra összpontosítva, akik az áldozatok jelentős részét teszik ki a felderített és büntetőeljárás alá vont esetekben. A Vietnam és Kína közötti határ bonyolult forgatókönyvet jelent az embercsempészet számára, változatos etnikai lakossággal és különböző szintű bűnüldözési képességekkel. Vietnam származási országként szolgál, míg Kína célországként szolgál a vietnami nőkereskedelem áldozatainak. Az emberkereskedelem elleni erőfeszítések ellenére mindkét ország akadályokba ütközik az emberkereskedelem elleni küzdelemben közös határaik mentén. A kutatás nemcsak a Kínából kimentett vietnami emberkereskedelem áldozataival készült interjúk során gyűjtött történetekre támaszkodik, hanem a Vietnami Nőszövetség szociális munkásainak tapasztalataira is, hogy megértsék az emberkereskedelem elleni politika végrehajtása során felmerülő nehézségeket. Elemeztem az éves kormányjelentésekből, szakpolitikai dokumentumokból, újságokból és tudományos tanulmányokból gyűjtött, embercsempészettel kapcsolatos bűncselekményekkel kapcsolatos másodlagos adatokat is az interjúk adatainak összevetésére. Ez a tanulmány rávilágított a vietnami push-tényezőkre és a kínai húzófaktorokra, valamint ezeknek a tényezőknek a kapcsolatára, amelyek hozzájárulnak a vietnami-kínai határ menti nőcsempész-gyűrűk működésének összetettségéhez. Bemutatják továbbá a két ország együttműködését, valamint azokat a kihívásokat, amelyekkel a nyomozók szembesülnek az emberkereskedelem elleni szövetkezeti törekvések során. Végül ennek a tanulmánynak az a célja, hogy értékelje a Vietnam és Kína közötti kétoldalú együttműködés hatékonyságát a nőkereskedelem megelőzése terén, ezáltal hozzájárulva ennek az állandóan fennálló problémának a mélyebb megértéséhez, és megalapozottabb emberkereskedelem elleni stratégiák megismeréséhez ebben a kritikus határrégióban.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28063">
    <w:multiLevelType w:val="hybridMultilevel"/>
    <w:lvl w:ilvl="0" w:tplc="51986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28063">
    <w:abstractNumId w:val="28128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638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