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KINCSŐ BORÓKA BÁNYÁSZ-VÁCZI</w:t>
            </w:r>
          </w:p>
          <w:p w:rsidR="00C275A3" w:rsidRDefault="00CA6B74" w:rsidP="00C275A3">
            <w:pPr>
              <w:pStyle w:val="Hallgatokepzes"/>
            </w:pPr>
            <w:r w:rsidRPr="001067CD">
              <w:rPr>
                <w:i/>
              </w:rPr>
              <w:t>vaczi.kincso@gmail.com</w:t>
            </w:r>
            <w:r w:rsidRPr="001067CD">
              <w:rPr>
                <w:i/>
              </w:rPr>
              <w:br/>
            </w:r>
            <w:r w:rsidR="00A96AEC">
              <w:t>Social Pedagogy</w:t>
            </w:r>
            <w:r w:rsidR="00A96AEC">
              <w:br/>
            </w:r>
            <w:r w:rsidR="00E77B23">
              <w:t>BA, 2. semester</w:t>
            </w:r>
          </w:p>
          <w:p w:rsidR="00C265CE" w:rsidRPr="009E5FF1" w:rsidRDefault="00E77B23" w:rsidP="00BA6BAF">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Julianna Jankó, PhD</w:t>
            </w:r>
          </w:p>
          <w:p w:rsidR="00DB4822" w:rsidRDefault="00DB4822" w:rsidP="00BA6BAF">
            <w:pPr>
              <w:pStyle w:val="Konzulensektitulus"/>
            </w:pPr>
            <w:r w:rsidRPr="00DB4822">
              <w:t>lecturer, PPKE BTK</w:t>
            </w:r>
          </w:p>
        </w:tc>
      </w:tr>
      <w:tr w:rsidR="00DB4822" w:rsidTr="00DB4822">
        <w:tc>
          <w:tcPr>
            <w:tcW w:w="9854" w:type="dxa"/>
          </w:tcPr>
          <w:p w:rsidR="00DB4822" w:rsidRPr="00DB4822" w:rsidRDefault="00DB4822" w:rsidP="00BA6BAF">
            <w:pPr>
              <w:pStyle w:val="Konzulenseknev"/>
            </w:pPr>
            <w:r w:rsidRPr="00DB4822">
              <w:t>András Pári, PhD</w:t>
            </w:r>
          </w:p>
          <w:p w:rsidR="00DB4822" w:rsidRDefault="00DB4822" w:rsidP="00BA6BAF">
            <w:pPr>
              <w:pStyle w:val="Konzulensektitulus"/>
            </w:pPr>
            <w:r w:rsidRPr="00DB4822">
              <w:t>assistant lecturer,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social adoption of generative artificial intelligence and its potential applications in education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generative artificial intelligence; Technology Adoption Propensity Index; survey; social perception</w:t>
      </w:r>
      <w:r>
        <w:t xml:space="preserve"/>
      </w:r>
    </w:p>
    <w:p>
      <w:pPr>
        <w:widowControl w:val="on"/>
        <w:pBdr/>
        <w:spacing w:before="240" w:after="240" w:line="240" w:lineRule="auto"/>
        <w:ind w:left="0" w:right="0"/>
        <w:jc w:val="left"/>
      </w:pPr>
      <w:r>
        <w:rPr>
          <w:color w:val="000000"/>
          <w:sz w:val="24"/>
          <w:szCs w:val="24"/>
        </w:rPr>
        <w:t xml:space="preserve">This study examines the societal perception of generative artificial intelligence (genAI), one of the prominent technological advancements of recent years, and its relationship with education. The primary objective is to identify and analyze the factors shaping the acceptance of genAI as a technological innovation. Employing Ratchford and Barnhart's Technology Acceptance Propensity (TAP) Index methodology, the research utilized a questionnaire survey administered to 172 participants to assess their attitudes towards genAI adoption. The analysis incorporates quantitative statistical methods, including descriptive statistics, cross-tabulation analysis, the Kruskal-Wallis test, and cluster analysis. The study's central inquiry revolves around understanding the determinants influencing knowledge, utilization, and attitudes towards genAI.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82905">
    <w:multiLevelType w:val="hybridMultilevel"/>
    <w:lvl w:ilvl="0" w:tplc="62860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82905">
    <w:abstractNumId w:val="63382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026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