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SZING ANNAMÁRIA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szing.annamaria@gmail.com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Védő szerepe a büntetőeljárásban (1867-1914)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ügyvéd; polgári állam; polgári büntetőeljárás; katonai büntetőeljárás; katonai védő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védő szerepe a büntetőeljárásban (1867-1914)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Rezümé:</w:t>
      </w:r>
      <w:r>
        <w:rPr>
          <w:color w:val="000000"/>
          <w:sz w:val="24"/>
          <w:szCs w:val="24"/>
        </w:rPr>
        <w:br/>
        <w:t xml:space="preserve">A polgári átalakulás nyomán a jogállami eszmék térhódításának köszönhetően Európa-szerte hangsúlyossá vált az egyén jogainak elismerése és védelme, ez megnyilvánult a büntetőeljárásban is. Dolgozatomban azt vizsgálom, hogy a büntetőeljárás egyik alanya, a védő jogállása miként változott az 1867-1914-ig terjedő időszakban Magyarországon, továbbá azt is, hogy a védő miként tudta feladatát ellátni a különböző és eltérő eljárási szabályozások rendszerében. Kutatásom nem pusztán a polgári büntetőeljárásra terjed ki, vizsgálom a dolgozat keretein belül a katonai büntetőeljárási szabályozásban a védő szerepét és lehetőségeit. Utóbbi megfelelő értelmezéséhez azért szükséges az előbbi, mert rámutat arra, hogy a katonai bűnvádi eljárás mennyiben tudta követni a polgári eljárás reformjait. Ez pedig azért kiemelkedő kérdés az adott korszakban, hiszen a véderő kötelezettség okán a felnőtt férfi lakosság hosszabb rövidebb ideig e jogszabályi rezsim rendelkezései alá került. A védő szerepének meghatározásakor először ennek alapjait, a jogállamiság kritériumait mutatom be, majd azt vizsgálom, miként kapcsolódik ehhez a büntetőeljárás, az eljárás alá vont személy szabadságjogai védelmének szükségessége. A kiegyezés idején alkalmazott Ideiglenes Törvénykezési Szabályok már alkalmazta a törvény előtti egyenlőséget. A kiegyezés után megszületett törvényjavaslat a Sárga könyv, melynek alkalmazása során a védelem joga még nem teljesedett ki a kívánt mértékben, azonban az 1896. évi Bűnvádi Perrendtartás meghozta a várt áttörést. Amíg a polgári büntetőeljárás jelentős fejlődésen esett át az adott korszakban, addig a katonai büntetőeljárás reformja egészen 1912-ig váratott magára. A kodifikációt megelőzően az eljárás inkvizitórius rendszerű volt, a polgári eljárásra jellemző garanciarendszer a katonai eljárásban nem létezett, védő igénybevételére nem volt lehetőség.</w:t>
      </w:r>
      <w:r>
        <w:rPr>
          <w:color w:val="000000"/>
          <w:sz w:val="24"/>
          <w:szCs w:val="24"/>
        </w:rPr>
        <w:br/>
        <w:t xml:space="preserve">A Bp. hatályba lépése irányította a figyelmet a polgári és katonai büntetőeljárás között lévő különbségre, végül az ikertörvények hozták meg a várt változást. E szabályozás az eljárással terhelt számára annyiban tért el a polgári büntetőeljárástól, amennyiben azt a katonai szigor és fegyelem, valamint a háborús viszonyok megkívánták. A szabályozás megkésettségének oka a katonai büntetőjogban való széleskörű jártasság hiánya volt, mely e jogterület oktatásának hiányára vezethető vissza.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43937">
    <w:multiLevelType w:val="hybridMultilevel"/>
    <w:lvl w:ilvl="0" w:tplc="57989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43937">
    <w:abstractNumId w:val="83243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421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