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SZING</w:t>
            </w:r>
          </w:p>
          <w:p w:rsidR="00C275A3" w:rsidRDefault="00CA6B74" w:rsidP="00C275A3">
            <w:pPr>
              <w:pStyle w:val="Hallgatokepzes"/>
            </w:pPr>
            <w:r w:rsidRPr="001067CD">
              <w:rPr>
                <w:i/>
              </w:rPr>
              <w:t>szing.annamaria@gmail.com</w:t>
            </w:r>
            <w:r w:rsidRPr="001067CD">
              <w:rPr>
                <w:i/>
              </w:rPr>
              <w:br/>
            </w:r>
            <w:r w:rsidR="00A96AEC">
              <w:t>jurisprudent</w:t>
            </w:r>
            <w:r w:rsidR="00A96AEC">
              <w:br/>
            </w:r>
            <w:r w:rsidR="00E77B23">
              <w:t>Unified, 6. semester</w:t>
            </w:r>
          </w:p>
          <w:p w:rsidR="00C265CE" w:rsidRPr="009E5FF1" w:rsidRDefault="00E77B23" w:rsidP="00BA6BAF">
            <w:pPr>
              <w:pStyle w:val="Hallgatointezmeny-kar"/>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Roland Kelemen</w:t>
            </w:r>
          </w:p>
          <w:p w:rsidR="00DB4822" w:rsidRDefault="00DB4822" w:rsidP="00BA6BAF">
            <w:pPr>
              <w:pStyle w:val="Konzulensektitulus"/>
            </w:pPr>
            <w:r w:rsidRPr="00DB4822">
              <w:t>associate professor,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defence in criminal proceedings (1867-1914)</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lawyer; civil state; civil criminal procedure; military criminal procedure; military defence lawyer</w:t>
      </w:r>
      <w:r>
        <w:t xml:space="preserve"/>
      </w:r>
    </w:p>
    <w:p>
      <w:pPr>
        <w:widowControl w:val="on"/>
        <w:pBdr/>
        <w:spacing w:before="240" w:after="240" w:line="240" w:lineRule="auto"/>
        <w:ind w:left="0" w:right="0"/>
        <w:jc w:val="left"/>
      </w:pPr>
      <w:r>
        <w:rPr>
          <w:color w:val="000000"/>
          <w:sz w:val="24"/>
          <w:szCs w:val="24"/>
        </w:rPr>
        <w:t xml:space="preserve">The role of the defence in criminal proceedings (1867-1914)</w:t>
      </w:r>
    </w:p>
    <w:p>
      <w:pPr>
        <w:widowControl w:val="on"/>
        <w:pBdr/>
        <w:spacing w:before="240" w:after="240" w:line="240" w:lineRule="auto"/>
        <w:ind w:left="0" w:right="0"/>
        <w:jc w:val="left"/>
      </w:pPr>
      <w:r>
        <w:rPr>
          <w:color w:val="000000"/>
          <w:sz w:val="24"/>
          <w:szCs w:val="24"/>
        </w:rPr>
        <w:t xml:space="preserve">Review:</w:t>
      </w:r>
      <w:r>
        <w:rPr>
          <w:color w:val="000000"/>
          <w:sz w:val="24"/>
          <w:szCs w:val="24"/>
        </w:rPr>
        <w:br/>
        <w:t xml:space="preserve">The rise of the rule of law in the wake of civil transformation has led to an emphasis on the recognition and protection of individual rights throughout Europe, and this has been reflected in criminal procedure. In my thesis, I examine how the legal status of the defender, the subject of criminal proceedings, changed in Hungary between 1867 and 1914, and how the defender was able to perform his or her function in a system of different and divergent procedural rules. My research is not limited to only civil criminal procedure but also examines the role and possibilities of the defence in military criminal procedures. A proper understanding of the latter requires the former because it highlights the extent to which military criminal procedure has been able to follow the reforms of civil procedure. This was a major issue in the period in question, since the obligation to protect meant that the adult male population was subject to the provisions of this legal regime for both shorter and longer periods of time. In defining the role of the public defender, I will first set out the basis for this, the criteria of the rule of law, and then examine how this relates to criminal procedure and the need to protect the freedoms of the person being prosecuted. The Provisional Legislative Rules at the time of the Compromise already applied equality before the law. After the Compromise, a bill was drafted, the Yellow Book, which did not yet fully implement the right of defence, but the Code of Criminal Procedure of 1896 brought the expected breakthrough. While civil criminal procedure underwent significant development during that period, reform of military criminal procedure was delayed until 1912. Prior to codification, the procedure was inquisitorial, the guarantee system typical of civil proceedings did not exist in military proceedings, and there was no possibility of defence. The entry into force of the Code of Criminal Procedure drew attention to the difference between civil and military criminal procedure, and it was the twin laws that finally brought about the expected change. This legislation differed from civilian criminal procedure in so far as the military rigour and discipline and the conditions of war required it. The reason for the delay was the lack of widespread familiarity with military criminal law, due to a lack of training in this area.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62000">
    <w:multiLevelType w:val="hybridMultilevel"/>
    <w:lvl w:ilvl="0" w:tplc="351397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62000">
    <w:abstractNumId w:val="75462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1452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