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MAJID SADEGHIAN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majidsadeghian2022@gmail.com</w:t>
            </w:r>
            <w:r w:rsidRPr="001067CD">
              <w:rPr>
                <w:i/>
              </w:rPr>
              <w:br/>
            </w:r>
            <w:r w:rsidR="00A96AEC">
              <w:t>Management and Leadership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Agriculture and Life Sciences</w:t>
            </w:r>
            <w:r w:rsidR="00C275A3">
              <w:br/>
            </w:r>
            <w:r w:rsidR="00DB4822">
              <w:t>Institute of Agricultural and Food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Erika Varga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MATE VFGI MATE- Hungarian University of Agriculture and Life Sciences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Balancing Work and Life in Today's World: Understanding the Multifaceted Relationship Between Home Office and Beyond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work-life balance; working from home; work organisation; well-being; productivity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explores how remote work impacts work-life balance and productivity, focusing on</w:t>
      </w:r>
      <w:r>
        <w:rPr>
          <w:color w:val="000000"/>
          <w:sz w:val="24"/>
          <w:szCs w:val="24"/>
        </w:rPr>
        <w:br/>
        <w:t xml:space="preserve">social, psychological, and economic influences. The research aims to answer which factors most</w:t>
      </w:r>
      <w:r>
        <w:rPr>
          <w:color w:val="000000"/>
          <w:sz w:val="24"/>
          <w:szCs w:val="24"/>
        </w:rPr>
        <w:br/>
        <w:t xml:space="preserve">significantly affect remote workers' well-being and how remote work influences long-term</w:t>
      </w:r>
      <w:r>
        <w:rPr>
          <w:color w:val="000000"/>
          <w:sz w:val="24"/>
          <w:szCs w:val="24"/>
        </w:rPr>
        <w:br/>
        <w:t xml:space="preserve">productivity and social connections.</w:t>
      </w:r>
      <w:r>
        <w:rPr>
          <w:color w:val="000000"/>
          <w:sz w:val="24"/>
          <w:szCs w:val="24"/>
        </w:rPr>
        <w:br/>
        <w:t xml:space="preserve">Data were collected from participants across 20 countries through surveys and interviews, and</w:t>
      </w:r>
      <w:r>
        <w:rPr>
          <w:color w:val="000000"/>
          <w:sz w:val="24"/>
          <w:szCs w:val="24"/>
        </w:rPr>
        <w:br/>
        <w:t xml:space="preserve">analyzed using statistical techniques, including multiple regression analysis.</w:t>
      </w:r>
      <w:r>
        <w:rPr>
          <w:color w:val="000000"/>
          <w:sz w:val="24"/>
          <w:szCs w:val="24"/>
        </w:rPr>
        <w:br/>
        <w:t xml:space="preserve">Findings indicate that social factors, such as workplace support and connectivity, have the</w:t>
      </w:r>
      <w:r>
        <w:rPr>
          <w:color w:val="000000"/>
          <w:sz w:val="24"/>
          <w:szCs w:val="24"/>
        </w:rPr>
        <w:br/>
        <w:t xml:space="preserve">strongest influence on work-life balance for remote workers, followed by psychological and</w:t>
      </w:r>
      <w:r>
        <w:rPr>
          <w:color w:val="000000"/>
          <w:sz w:val="24"/>
          <w:szCs w:val="24"/>
        </w:rPr>
        <w:br/>
        <w:t xml:space="preserve">economic impacts. The study suggests that to improve remote work experiences, organizations</w:t>
      </w:r>
      <w:r>
        <w:rPr>
          <w:color w:val="000000"/>
          <w:sz w:val="24"/>
          <w:szCs w:val="24"/>
        </w:rPr>
        <w:br/>
        <w:t xml:space="preserve">should prioritize social support systems, foster professional development, and integrate technology</w:t>
      </w:r>
      <w:r>
        <w:rPr>
          <w:color w:val="000000"/>
          <w:sz w:val="24"/>
          <w:szCs w:val="24"/>
        </w:rPr>
        <w:br/>
        <w:t xml:space="preserve">effectively. These measures can enhance remote workers' productivity and well-being, ultimately</w:t>
      </w:r>
      <w:r>
        <w:rPr>
          <w:color w:val="000000"/>
          <w:sz w:val="24"/>
          <w:szCs w:val="24"/>
        </w:rPr>
        <w:br/>
        <w:t xml:space="preserve">supporting a balanced and productive work environment.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38320">
    <w:multiLevelType w:val="hybridMultilevel"/>
    <w:lvl w:ilvl="0" w:tplc="88679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38320">
    <w:abstractNumId w:val="101383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080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