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VERES-KUPÁN HUNOR</w:t>
            </w:r>
          </w:p>
          <w:p w:rsidR="00C275A3" w:rsidRDefault="00CA6B74" w:rsidP="00C275A3">
            <w:pPr>
              <w:pStyle w:val="Hallgatokepzes"/>
            </w:pPr>
            <w:r w:rsidRPr="001067CD">
              <w:rPr>
                <w:i/>
              </w:rPr>
              <w:t>veres.k.hunor@gmail.com</w:t>
            </w:r>
            <w:r w:rsidRPr="001067CD">
              <w:rPr>
                <w:i/>
              </w:rPr>
              <w:br/>
            </w:r>
            <w:r w:rsidR="00A96AEC">
              <w:t>Jog</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Kolozsvári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Kokoly Zsolt</w:t>
            </w:r>
          </w:p>
          <w:p w:rsidR="00DB4822" w:rsidRDefault="00DB4822" w:rsidP="00BA6BAF">
            <w:pPr>
              <w:pStyle w:val="Konzulensektitulus"/>
            </w:pPr>
            <w:r w:rsidRPr="00DB4822">
              <w:t>egyetemi adjunktus, RO EMTE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véleménynyilvánítás szabadsága és a cenzúra az új technológiák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véleménynyilvánítás szabadsága;tartalomkorlátozás;Emberi Jogok Európai Bírósága;Digital Services Act;Mesterséges Intelligencia.</w:t>
      </w:r>
      <w:r>
        <w:t xml:space="preserve"/>
      </w:r>
    </w:p>
    <w:p>
      <w:pPr>
        <w:widowControl w:val="on"/>
        <w:pBdr/>
        <w:spacing w:before="240" w:after="240" w:line="240" w:lineRule="auto"/>
        <w:ind w:left="0" w:right="0"/>
        <w:jc w:val="left"/>
      </w:pPr>
      <w:r>
        <w:rPr>
          <w:color w:val="000000"/>
          <w:sz w:val="24"/>
          <w:szCs w:val="24"/>
        </w:rPr>
        <w:t xml:space="preserve">A véleménynyilvánítás és a tájékozódás szabadsága a modern demokratikus társadalmakban a legfontosabb alapvető emberi jogok közé sorolható. A kifejezés szabadságának kiemelt alapjogi szerepét kellőképpen átadja a Winston Churchilltől származó, napjainkban is aktuális idézet, mely szerint: „Annak a társadalomnak, amelyben az emberek nem mondhatják el a véleményüket, nincs jövője.”</w:t>
      </w:r>
    </w:p>
    <w:p>
      <w:pPr>
        <w:widowControl w:val="on"/>
        <w:pBdr/>
        <w:spacing w:before="240" w:after="240" w:line="240" w:lineRule="auto"/>
        <w:ind w:left="0" w:right="0"/>
        <w:jc w:val="left"/>
      </w:pPr>
      <w:r>
        <w:rPr>
          <w:color w:val="000000"/>
          <w:sz w:val="24"/>
          <w:szCs w:val="24"/>
        </w:rPr>
        <w:br/>
        <w:t xml:space="preserve">Ugyanakkor az internet világának megjelenése és az online kommunikáció elterjedése alkalmas arra, hogy új kihívások elé állítsa a szólásszabadság és a cenzúra kérdésében a jogalkotókat és jogalkalmazókat egyaránt. Saját életünkben is tapasztalhatjuk, hogy az online tér nem csak a kifejezés és a szólás fő eszközévé vált, hanem olyan mennyiségű információt tesz számunkra elérhetővé, ami képes befolyásolni politikai, gazdasági, társadalmi kérdésekben alkotott nézeteinket.</w:t>
      </w:r>
    </w:p>
    <w:p>
      <w:pPr>
        <w:widowControl w:val="on"/>
        <w:pBdr/>
        <w:spacing w:before="240" w:after="240" w:line="240" w:lineRule="auto"/>
        <w:ind w:left="0" w:right="0"/>
        <w:jc w:val="left"/>
      </w:pPr>
      <w:r>
        <w:rPr>
          <w:color w:val="000000"/>
          <w:sz w:val="24"/>
          <w:szCs w:val="24"/>
        </w:rPr>
        <w:br/>
        <w:t xml:space="preserve">Mindezek alapján érdemes megvizsgálnunk azt, hogy milyen alkotmányos és egyéb jogi garanciákat élvez a véleménynyilvánítás szabadságához való jog abban az esetben, amikor a kifejezésre az interneten, szociális médiaplatformokon kerül sor és milyen esetekben korlátozható az online térben az illető alapjog? Léteznek-e új jogalkotási megoldások a felmerülő problémák áthidalására?</w:t>
      </w:r>
    </w:p>
    <w:p>
      <w:pPr>
        <w:widowControl w:val="on"/>
        <w:pBdr/>
        <w:spacing w:before="240" w:after="240" w:line="240" w:lineRule="auto"/>
        <w:ind w:left="0" w:right="0"/>
        <w:jc w:val="left"/>
      </w:pPr>
      <w:r>
        <w:rPr>
          <w:color w:val="000000"/>
          <w:sz w:val="24"/>
          <w:szCs w:val="24"/>
        </w:rPr>
        <w:br/>
        <w:t xml:space="preserve">A felmerülő aggályok feltárása és az elhangzott kérdések megválaszolása érdekében dolgozatomban az aktuális szakirodalmi források mellett felhasználom Magyarország, Románia és az Egyesült Államok releváns alkotmánybírósági és bírósági joggyakorlatát, valamint feldolgozom ez EJEB legmeghatározóbb döntéseit. Bemutatásra kerül továbbá az Európai Unió digitális szolgáltatásokról szóló jogszabálya (Digital Services Act) melynek relevanciája egyértelmű, hiszen ennek értelmében minden szabályozott vállalkozásnak 2024. február 17-ig meg kell felelnie az új rendelkezéseknek. A Digital Services Act nem más, mint az egész EU-ra kiterjedő, a fogyasztók, áruk, szolgáltatások és tartalmak közvetítőjeként működő digitális szolgáltatásokra vonatkozó új szabályok összessége.</w:t>
      </w:r>
    </w:p>
    <w:p>
      <w:pPr>
        <w:widowControl w:val="on"/>
        <w:pBdr/>
        <w:spacing w:before="240" w:after="240" w:line="240" w:lineRule="auto"/>
        <w:ind w:left="0" w:right="0"/>
        <w:jc w:val="left"/>
      </w:pPr>
      <w:r>
        <w:rPr>
          <w:color w:val="000000"/>
          <w:sz w:val="24"/>
          <w:szCs w:val="24"/>
        </w:rPr>
        <w:br/>
        <w:t xml:space="preserve">A joggyakorlat, az új szabályozási kísérletek és a szakirodalmi vélemények bemutatását követően törekszem saját véleményt formálni arról, hogy kellő biztonságban tudhatjuk-e a véleménynyilvánítás szabadságát, szükség van-e új jogi garanciák bevezetésére, annak érdekében, hogy rohamosan fejlődő világunkban is biztonságban tudhassuk a szólásszabadságot, a demokratikus jövőnket.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35652">
    <w:multiLevelType w:val="hybridMultilevel"/>
    <w:lvl w:ilvl="0" w:tplc="62927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35652">
    <w:abstractNumId w:val="69835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699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