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MÁRIA VÁRKONYI</w:t>
            </w:r>
          </w:p>
          <w:p w:rsidR="00C275A3" w:rsidRDefault="00CA6B74" w:rsidP="00C275A3">
            <w:pPr>
              <w:pStyle w:val="Hallgatokepzes"/>
            </w:pPr>
            <w:r w:rsidRPr="001067CD">
              <w:rPr>
                <w:i/>
              </w:rPr>
              <w:t>dora.maria.varkonyi@student.uni-miskolc.hu</w:t>
            </w:r>
            <w:r w:rsidRPr="001067CD">
              <w:rPr>
                <w:i/>
              </w:rPr>
              <w:br/>
            </w:r>
            <w:r w:rsidR="00A96AEC">
              <w:t>Finance and accounting</w:t>
            </w:r>
            <w:r w:rsidR="00A96AEC">
              <w:br/>
            </w:r>
            <w:r w:rsidR="00E77B23">
              <w:t>BSc, 4.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Judit Füredi-Fülöp, PhD</w:t>
            </w:r>
          </w:p>
          <w:p w:rsidR="00DB4822" w:rsidRDefault="00DB4822" w:rsidP="00BA6BAF">
            <w:pPr>
              <w:pStyle w:val="Konzulensektitulus"/>
            </w:pPr>
            <w:r w:rsidRPr="00DB4822">
              <w:t>associate professor, ME GTK</w:t>
            </w:r>
          </w:p>
        </w:tc>
      </w:tr>
      <w:tr w:rsidR="00DB4822" w:rsidTr="00DB4822">
        <w:tc>
          <w:tcPr>
            <w:tcW w:w="9854" w:type="dxa"/>
          </w:tcPr>
          <w:p w:rsidR="00DB4822" w:rsidRPr="00DB4822" w:rsidRDefault="00DB4822" w:rsidP="00BA6BAF">
            <w:pPr>
              <w:pStyle w:val="Konzulenseknev"/>
            </w:pPr>
            <w:r w:rsidRPr="00DB4822">
              <w:t>Mária Várkonyiné Juhász, PhD</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Measurable sustainability: Impact of needs, reasons, methods and limitations on company practice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ESG; sustainability; sustainability report</w:t>
      </w:r>
      <w:r>
        <w:t xml:space="preserve"/>
      </w:r>
    </w:p>
    <w:p>
      <w:pPr>
        <w:widowControl w:val="on"/>
        <w:pBdr/>
        <w:spacing w:before="240" w:after="240" w:line="240" w:lineRule="auto"/>
        <w:ind w:left="0" w:right="0"/>
        <w:jc w:val="left"/>
      </w:pPr>
      <w:r>
        <w:rPr>
          <w:color w:val="000000"/>
          <w:sz w:val="24"/>
          <w:szCs w:val="24"/>
        </w:rPr>
        <w:t xml:space="preserve">What we still take for granted today, the next generation may only see in pictures in a decade, if we do not change. For this, active steps must be taken, which all actors in the economy must consider. These efforts and effects on the environment cannot be ignored by accounting either, so even though it is difficult to grasp, quantifiable topics cannot be left out of financial statements and accounting accounts. The demand is getting stronger that the accounting information not only refers to the real property, income and financial situation of the companies, but also examines the company's impact on the environment and society, as well as its management of the company.</w:t>
      </w:r>
    </w:p>
    <w:p>
      <w:pPr>
        <w:widowControl w:val="on"/>
        <w:pBdr/>
        <w:spacing w:before="240" w:after="240" w:line="240" w:lineRule="auto"/>
        <w:ind w:left="0" w:right="0"/>
        <w:jc w:val="left"/>
      </w:pPr>
      <w:r>
        <w:rPr>
          <w:color w:val="000000"/>
          <w:sz w:val="24"/>
          <w:szCs w:val="24"/>
        </w:rPr>
        <w:t xml:space="preserve">In my thesis, after reviewing the conceptual system of environmental accounting, I elaborate on the practical form of sustainability reports, so for example I discuss what standards can be applied and what regulations are in force. In my primary research, I compare the ESG reports of companies with different profiles listed on the stock exchange based on different aspects, so you can get an idea of ​​the different report elements between the sectors.</w:t>
      </w:r>
    </w:p>
    <w:p>
      <w:pPr>
        <w:widowControl w:val="on"/>
        <w:pBdr/>
        <w:spacing w:before="240" w:after="240" w:line="240" w:lineRule="auto"/>
        <w:ind w:left="0" w:right="0"/>
        <w:jc w:val="left"/>
      </w:pPr>
      <w:r>
        <w:rPr>
          <w:color w:val="000000"/>
          <w:sz w:val="24"/>
          <w:szCs w:val="24"/>
        </w:rPr>
        <w:t xml:space="preserve">In the first chapter, I present the milestones of the development of environmental accounting. In the second chapter, I collect the concepts of environmental accounting and their relationship system. In the third chapter, I collect the practical elements and methods of environmental financial accounting, and summarize the stakeholders and criteria of the Hungarian regulation. Finally, in the last chapter, I conduct empirical research, in which I compare the ESG reports of companies listed on the Budapest Stock Exchange, which have a 2021-2023 Sustainability Report, so the list is narrowed down to six companies: ALTEO, AutoWallis, MOL, OTP, Gedeon Richter, Magyar Telecom. I collate the non-financial reports of the selected companies with a content analysis, for which the ESG dimensions were used, for which I define keywords and then summarize their frequency of occurrence. I then rank the results obtained in this way using a set scoring system, on a scale from 0 to 3, which I assign to the companies based on the frequency of occurrence of the given keyword, so keywords with a higher frequency of occurrence receive a higher score. In addition to the scores, I also examine the development of the scope and thus the detail of the reports in order to establish trends and support my hypotheses.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35415">
    <w:multiLevelType w:val="hybridMultilevel"/>
    <w:lvl w:ilvl="0" w:tplc="40610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35415">
    <w:abstractNumId w:val="94735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03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