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lukacseszter03@gmail.com</w:t>
            </w:r>
            <w:r w:rsidRPr="001067CD">
              <w:rPr>
                <w:i/>
              </w:rPr>
              <w:br/>
            </w:r>
            <w:r w:rsidR="00A96AEC">
              <w:t>Pénzügy és számvitel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Süveges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Musinszki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Premium vagy Commercial? - A Volkswagen Csoport leányvállalatainak pénzügyi teljesítménye 2017 és 2022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Volkswagen Csoport; autóipar; pénzügyi teljesítmény; Covid-19; ellátási lánc problémák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 a Volkswagen Csoport pénzügyi teljesítményének a vizsgálata, vagyis a pénzügyi teljesítményét meghatározó tényezők feltárása volt. Előszőr a dolgozatban az autóipari számadatok és az azt befolyásoló trendek kerültek kifejtésre, amelyek hatással vannak a vállalatok pénzügyi teljesítményére is és vizsgálatuk elengedhetetlen ahhoz, hogy megfelelő megállapításokat tegyünk az iparral kapcsolatban. Ezeket követően a magának a Volkswagen Csoport Autóipari divíziójának – a kutatás középpontjában álló Csoportrész - bemutatása következett, ahol már látható volt az, hogy a Csoportba tartozó személygépjárműgyártó vállalatokat Premium és a Commercial kategóriákra lehet felosztani. Előbbibe az Audi és a Porsche tartozik, míg utóbbiba a Volkswagen AG, a Skoda, valamint a Seat sorolható be.</w:t>
      </w:r>
      <w:r>
        <w:rPr>
          <w:color w:val="000000"/>
          <w:sz w:val="24"/>
          <w:szCs w:val="24"/>
        </w:rPr>
        <w:br/>
        <w:t xml:space="preserve">A szekunder kutatásom során megfogalmazódott bennem néhány kérdés, amelyek közül a legfőbb az volt, hogy „A Premium és a Commercial kategóriába tartozó vállalatok között láthatóak-e hasonlóságok vagy különbözőségek?”. Ennek megfelelően fogalmaztam meg hipotéziseimet, amelyeket mutatószámok, ábrák és kapcsolatszorossági vizsgálatok segítségével elemeztem. Előszőr mutatószámok segítségével komplex ábrákat alkottam, majd a szóráshányadosokat és a szórásnégyzet-hányadosokat számoltam annak érdekében, hogy még jobban megbizonyosodjak a hipotéziseim helytállásáról. A vizsgálatok eredményeképpen a hipotéziseimet elfogadtam és a következő téziseket fogalmaztam meg belőlük:</w:t>
      </w:r>
    </w:p>
    <w:p>
      <w:pPr>
        <w:pStyle w:val="ListParagraphPHPDOCX"/>
        <w:numPr>
          <w:ilvl w:val="0"/>
          <w:numId w:val="9821593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T1: 2017 és 2022 között a Volkswagen Csoport Premium és a Commercial kategóriáiba tartozó leányvállalatainak pénzügyi helyzete a vizsgált mutatószámok alapján egymástól eltérően alakul, míg a csoportokon belül megegyezik.</w:t>
      </w:r>
    </w:p>
    <w:p>
      <w:pPr>
        <w:pStyle w:val="ListParagraphPHPDOCX"/>
        <w:numPr>
          <w:ilvl w:val="0"/>
          <w:numId w:val="9821593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T2: 2017 és 2022 között a Volkswagen Csoport Premium és a Commercial kategóriáiban a vizsgált egy foglalkoztatottra és az értékesített termékek mennyiségére jutó értékek hasonlóan alakulnak.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 alapján az mondható el, hogy a Volkswagen Csoporton belül a pénzügyi teljesítményen is tetten érhető az, hogy Premium vagy Commercial kategóriába tartozik az adott leányvállalat.</w:t>
      </w:r>
      <w:r>
        <w:rPr>
          <w:color w:val="000000"/>
          <w:sz w:val="24"/>
          <w:szCs w:val="24"/>
        </w:rPr>
        <w:br/>
        <w:t xml:space="preserve">Az eredményeim alapján egy olyan javaslatot fogalmaznék meg, hogy a vizsgált két kategória esetében előnyös lehet a Commercial kategória esetében az, ha a működésébe implementál néhány sajátosságot a Premium kategóriától, mint például a válságkezelési módszertant.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15939">
    <w:multiLevelType w:val="hybridMultilevel"/>
    <w:lvl w:ilvl="0" w:tplc="65633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15939">
    <w:abstractNumId w:val="98215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125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