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LUKÁCS</w:t>
            </w:r>
          </w:p>
          <w:p w:rsidR="00C275A3" w:rsidRDefault="00CA6B74" w:rsidP="00C275A3">
            <w:pPr>
              <w:pStyle w:val="Hallgatokepzes"/>
            </w:pPr>
            <w:r w:rsidRPr="001067CD">
              <w:rPr>
                <w:i/>
              </w:rPr>
              <w:t>lukacseszter03@gmail.com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Gábor Béla Süveges</w:t>
            </w:r>
          </w:p>
          <w:p w:rsidR="00DB4822" w:rsidRDefault="00DB4822" w:rsidP="00BA6BAF">
            <w:pPr>
              <w:pStyle w:val="Konzulensektitulus"/>
            </w:pPr>
            <w:r w:rsidRPr="00DB4822">
              <w:t>associate professor, ME GTK</w:t>
            </w:r>
          </w:p>
        </w:tc>
      </w:tr>
      <w:tr w:rsidR="00DB4822" w:rsidTr="00DB4822">
        <w:tc>
          <w:tcPr>
            <w:tcW w:w="9854" w:type="dxa"/>
          </w:tcPr>
          <w:p w:rsidR="00DB4822" w:rsidRPr="00DB4822" w:rsidRDefault="00DB4822" w:rsidP="00BA6BAF">
            <w:pPr>
              <w:pStyle w:val="Konzulenseknev"/>
            </w:pPr>
            <w:r w:rsidRPr="00DB4822">
              <w:t>Dr. Zoltán Musinszki</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Premium or Commercial? – The financial performance of Volkswagen Group subsidiaries between 2017 and 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Volkswagen Csoport; automotive industry; financial performance; Covid-19; supply chain problems</w:t>
      </w:r>
      <w:r>
        <w:t xml:space="preserve"/>
      </w:r>
    </w:p>
    <w:p>
      <w:pPr>
        <w:widowControl w:val="on"/>
        <w:pBdr/>
        <w:spacing w:before="240" w:after="240" w:line="240" w:lineRule="auto"/>
        <w:ind w:left="0" w:right="0"/>
        <w:jc w:val="left"/>
      </w:pPr>
      <w:r>
        <w:rPr>
          <w:color w:val="000000"/>
          <w:sz w:val="24"/>
          <w:szCs w:val="24"/>
        </w:rPr>
        <w:t xml:space="preserve">The main objective of the present research was to investigate the financial performance of the Volkswagen Group, i.e. to identify the factors that determine its financial performance. Initially, the thesis will address the automotive industry figures and trends, which affect the financial performance of the companies. The analysis of these trends is essential to draw the right conclusions about the industry. This was followed by a presentation of the Volkswagen Group's Automotive Division itself, - the Group Division at the heart of the research - where it was shown that the Group's passenger car companies can be divided into Premium and Commercial categories. The former includes Audi and Porsche, while the latter includes Volkswagen AG, Skoda and Seat.</w:t>
      </w:r>
      <w:r>
        <w:rPr>
          <w:color w:val="000000"/>
          <w:sz w:val="24"/>
          <w:szCs w:val="24"/>
        </w:rPr>
        <w:br/>
        <w:t xml:space="preserve">During my secondary research, I posed the following question to myself: "Are there any similarities or differences between companies in the Premium and Commercial categories?" In response to this, I formulated specific hypotheses, which I then subjected to rigorous analysis using various indicators, graphs, and correlation tests. Initially, complex graphs were created using indicators, and subsequently, coefficients of variation and squared coefficients of variation were calculated to further verify the validity of the hypotheses. The analysis yielded favourable results, thus validating the hypotheses and leading to the formulation of the following theses:</w:t>
      </w:r>
    </w:p>
    <w:p>
      <w:pPr>
        <w:pStyle w:val="ListParagraphPHPDOCX"/>
        <w:numPr>
          <w:ilvl w:val="0"/>
          <w:numId w:val="55734427"/>
        </w:numPr>
        <w:spacing w:before="0" w:after="0" w:line="240" w:lineRule="auto"/>
        <w:contextualSpacing/>
        <w:jc w:val="left"/>
        <w:rPr>
          <w:sz w:val="24"/>
          <w:szCs w:val="24"/>
        </w:rPr>
      </w:pPr>
      <w:r>
        <w:rPr>
          <w:color w:val="000000"/>
          <w:sz w:val="24"/>
          <w:szCs w:val="24"/>
        </w:rPr>
        <w:t xml:space="preserve">T1: Between 2017 and 2022, the financial situation of the Volkswagen Group's subsidiaries in the Premium and Commercial categories diverge in terms of the indicators studied, while within the groups they are identical.</w:t>
      </w:r>
    </w:p>
    <w:p>
      <w:pPr>
        <w:pStyle w:val="ListParagraphPHPDOCX"/>
        <w:numPr>
          <w:ilvl w:val="0"/>
          <w:numId w:val="55734427"/>
        </w:numPr>
        <w:spacing w:before="0" w:after="0" w:line="240" w:lineRule="auto"/>
        <w:contextualSpacing/>
        <w:jc w:val="left"/>
        <w:rPr>
          <w:sz w:val="24"/>
          <w:szCs w:val="24"/>
        </w:rPr>
      </w:pPr>
      <w:r>
        <w:rPr>
          <w:color w:val="000000"/>
          <w:sz w:val="24"/>
          <w:szCs w:val="24"/>
        </w:rPr>
        <w:t xml:space="preserve">T2: Between 2017 and 2022, the Premium and Commercial categories of the Volkswagen Group exhibit comparable values per employee and per unit of product sold.</w:t>
      </w:r>
    </w:p>
    <w:p>
      <w:pPr>
        <w:widowControl w:val="on"/>
        <w:pBdr/>
        <w:spacing w:before="240" w:after="240" w:line="240" w:lineRule="auto"/>
        <w:ind w:left="0" w:right="0"/>
        <w:jc w:val="left"/>
      </w:pPr>
      <w:r>
        <w:rPr>
          <w:color w:val="000000"/>
          <w:sz w:val="24"/>
          <w:szCs w:val="24"/>
        </w:rPr>
        <w:t xml:space="preserve">The results of this study indicate that within the Volkswagen Group, the financial performance of a subsidiary can be seen to reflect whether it belongs to the Premium or Commercial category.</w:t>
      </w:r>
      <w:r>
        <w:rPr>
          <w:color w:val="000000"/>
          <w:sz w:val="24"/>
          <w:szCs w:val="24"/>
        </w:rPr>
        <w:br/>
        <w:t xml:space="preserve">Based on my results, I would suggest for the two categories under study, that the Commercial category could benefit from implementing some of the characteristics of the Premium category in its operations, such as the crisis management methodology.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34427">
    <w:multiLevelType w:val="hybridMultilevel"/>
    <w:lvl w:ilvl="0" w:tplc="91254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34427">
    <w:abstractNumId w:val="55734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847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