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ZAKARIÁS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zakarias.antonia@yahoo.com</w:t>
            </w:r>
            <w:r w:rsidRPr="001067CD">
              <w:rPr>
                <w:i/>
              </w:rPr>
              <w:br/>
            </w:r>
            <w:r w:rsidR="00A96AEC">
              <w:t>Alkalmazott közgazdaságtan és pénzügy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Bíró Bíborka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fast fashion vállalat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pénzügy; CAPM; WACC; EVA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textilipar az egyik legdinamikusabban fejlődő ágazat a világgazdaságban. Az elmúlt évtizedekben azonban megfigyelhető volt egy jelentős átrendeződés, melynek központi szereplője a fast fashion jelenség, amely gyorsan változó divatirányzatokra építve kínál alacsony áron trendi ruházati termékeket. A globális piacot szemlélve a fast fashion ágazat legfontosabb gazdasági szereplői közé tartozik az Inditex Group, a H&amp;M Group és a The Gap.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elemzés céljából készült, amely egy komplex összehasonlító analízist tartalmaz a három vállalatról. Ennek segítségével átfogóan megvizsgáltam és értelmeztem a vállalatok 2018 és 2023 közötti pénzügyi helyzetét és gazdasági teljesítményét. Egy átlagos gazdasági és pénzügyi elemzéshez képest, a dolgozatomban még áttekintettem a CAPM modellt, a WACC és az EVA mutatót. A CAPM modell segítségével meghatározott tulajdonosoktól elvárt hozamot (r</w:t>
      </w:r>
      <w:r>
        <w:rPr>
          <w:color w:val="000000"/>
          <w:position w:val="-4"/>
          <w:sz w:val="21"/>
          <w:szCs w:val="21"/>
          <w:vertAlign w:val="subscript"/>
        </w:rPr>
        <w:t xml:space="preserve">E</w:t>
      </w:r>
      <w:r>
        <w:rPr>
          <w:color w:val="000000"/>
          <w:sz w:val="24"/>
          <w:szCs w:val="24"/>
        </w:rPr>
        <w:t xml:space="preserve">) összehasonlítottam a vállalat ROE mutatóival, amely után következtetéseket vontam le arra vonatkozóan, hogy a modell segítségével számolt saját tőkétől elvárható hozam mennyiben tér el a valódi értékektől. A WACC segítségével kiszámoltam az eszközök hozamát (r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) a fennálló finanszírozási struktúra mellett, ezt pedig a vállalat ROA mutatóival vetettem egybe. Ezek mellett korrelációanalízist és többváltozós regresszióanalízist készítettem, amelyekkel azt a kérdést válaszoltam meg, hogy függ-e a részvényárfolyam a gazdasági és pénzügyi mutatóktól.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41088">
    <w:multiLevelType w:val="hybridMultilevel"/>
    <w:lvl w:ilvl="0" w:tplc="47570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41088">
    <w:abstractNumId w:val="75441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18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