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ANTÓNIA ZAKARIÁS</w:t>
            </w:r>
          </w:p>
          <w:p w:rsidR="00C275A3" w:rsidRDefault="00CA6B74" w:rsidP="00C275A3">
            <w:pPr>
              <w:pStyle w:val="Hallgatokepzes"/>
            </w:pPr>
            <w:r w:rsidRPr="001067CD">
              <w:rPr>
                <w:i/>
              </w:rPr>
              <w:t>zakarias.antonia@yahoo.com</w:t>
            </w:r>
            <w:r w:rsidRPr="001067CD">
              <w:rPr>
                <w:i/>
              </w:rPr>
              <w:br/>
            </w:r>
            <w:r w:rsidR="00A96AEC">
              <w:t>Applied economics and finance</w:t>
            </w:r>
            <w:r w:rsidR="00A96AEC">
              <w:br/>
            </w:r>
            <w:r w:rsidR="00E77B23">
              <w:t>MSc, 4. semester</w:t>
            </w:r>
          </w:p>
          <w:p w:rsidR="00C265CE" w:rsidRPr="009E5FF1" w:rsidRDefault="00E77B23" w:rsidP="00BA6BAF">
            <w:pPr>
              <w:pStyle w:val="Hallgatointezmeny-kar"/>
              <w:rPr>
                <w:b/>
                <w:caps/>
              </w:rPr>
            </w:pPr>
            <w:r>
              <w:t>Sapientia Hungarian University of Transylvania</w:t>
            </w:r>
            <w:r w:rsidR="00C275A3">
              <w:br/>
            </w:r>
            <w:r w:rsidR="00DB4822">
              <w:t>Faculty of Economics, Socio-Human Sciences and Engineering - Târgu Mureș</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Bíborka Eszter Bíró</w:t>
            </w:r>
          </w:p>
          <w:p w:rsidR="00DB4822" w:rsidRDefault="00DB4822" w:rsidP="00BA6BAF">
            <w:pPr>
              <w:pStyle w:val="Konzulensektitulus"/>
            </w:pPr>
            <w:r w:rsidRPr="00DB4822">
              <w:t>senior lecturer,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three fast fashion companies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finance; CAPM; WACC; EVA</w:t>
      </w:r>
      <w:r>
        <w:t xml:space="preserve"/>
      </w:r>
    </w:p>
    <w:p>
      <w:pPr>
        <w:widowControl w:val="on"/>
        <w:pBdr/>
        <w:spacing w:before="240" w:after="240" w:line="240" w:lineRule="auto"/>
        <w:ind w:left="0" w:right="0"/>
        <w:jc w:val="left"/>
      </w:pPr>
      <w:r>
        <w:rPr>
          <w:color w:val="000000"/>
          <w:sz w:val="24"/>
          <w:szCs w:val="24"/>
        </w:rPr>
        <w:t xml:space="preserve">Textiles is one of the fastest growing sectors in the world economy. However, in recent decades there has been a major shift, with the fast fashion phenomenon at the heart of this shift, offering trendy clothing products at low prices, based on rapidly changing fashion trends. In the global market, the main market actors in the fast fashion sector include Inditex Group, H&amp;M Group and The Gap.</w:t>
      </w:r>
    </w:p>
    <w:p>
      <w:pPr>
        <w:widowControl w:val="on"/>
        <w:pBdr/>
        <w:spacing w:before="240" w:after="240" w:line="240" w:lineRule="auto"/>
        <w:ind w:left="0" w:right="0"/>
        <w:jc w:val="left"/>
      </w:pPr>
      <w:r>
        <w:rPr>
          <w:color w:val="000000"/>
          <w:sz w:val="24"/>
          <w:szCs w:val="24"/>
        </w:rPr>
        <w:t xml:space="preserve">The research was conducted for the purpose of analysis, providing a complex comparative analysis of the three companies. This was used to comprehensively examine and interpret the financial position and economic performance of the companies between 2018 and 2023. Compared to a typical economic and financial analysis, my thesis even reviewed the CAPM model, the WACC and the EVA indicator. I compared the expected return on equity (r</w:t>
      </w:r>
      <w:r>
        <w:rPr>
          <w:color w:val="000000"/>
          <w:position w:val="-4"/>
          <w:sz w:val="21"/>
          <w:szCs w:val="21"/>
          <w:vertAlign w:val="subscript"/>
        </w:rPr>
        <w:t xml:space="preserve">E</w:t>
      </w:r>
      <w:r>
        <w:rPr>
          <w:color w:val="000000"/>
          <w:sz w:val="24"/>
          <w:szCs w:val="24"/>
        </w:rPr>
        <w:t xml:space="preserve">) determined using the CAPM model with the ROE indicators of the company, after which I drew conclusions on the extent to which the expected return on equity calculated using the model differs from the true values. Using the WACC, I calculated the return on assets (r</w:t>
      </w:r>
      <w:r>
        <w:rPr>
          <w:color w:val="000000"/>
          <w:position w:val="-4"/>
          <w:sz w:val="21"/>
          <w:szCs w:val="21"/>
          <w:vertAlign w:val="subscript"/>
        </w:rPr>
        <w:t xml:space="preserve">A</w:t>
      </w:r>
      <w:r>
        <w:rPr>
          <w:color w:val="000000"/>
          <w:sz w:val="24"/>
          <w:szCs w:val="24"/>
        </w:rPr>
        <w:t xml:space="preserve">) under the existing financing structure, which I compared with the ROA of the company. In addition, I carried out correlation analysis and regression analysis to answer the question of whether the share price depends on economic and financial indicators.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39601">
    <w:multiLevelType w:val="hybridMultilevel"/>
    <w:lvl w:ilvl="0" w:tplc="30161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39601">
    <w:abstractNumId w:val="445396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76764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