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SEBESTYÉN DOROTTYA</w:t>
            </w:r>
          </w:p>
          <w:p w:rsidR="00C275A3" w:rsidRDefault="00CA6B74" w:rsidP="00C275A3">
            <w:pPr>
              <w:pStyle w:val="Hallgatokepzes"/>
            </w:pPr>
            <w:r w:rsidRPr="001067CD">
              <w:rPr>
                <w:i/>
              </w:rPr>
              <w:t>dorottya.sebestyen1@gmail.com</w:t>
            </w:r>
            <w:r w:rsidRPr="001067CD">
              <w:rPr>
                <w:i/>
              </w:rPr>
              <w:br/>
            </w:r>
            <w:r w:rsidR="00A96AEC">
              <w:t>Világ- és összehasonlító irodalom – Angol nyelv és irodalom</w:t>
            </w:r>
            <w:r w:rsidR="00A96AEC">
              <w:br/>
            </w:r>
            <w:r w:rsidR="00E77B23">
              <w:t>BSc, 6. félév</w:t>
            </w:r>
          </w:p>
          <w:p w:rsidR="00C265CE" w:rsidRPr="009E5FF1" w:rsidRDefault="00E77B23" w:rsidP="00BA6BAF">
            <w:pPr>
              <w:pStyle w:val="Hallgatointezmeny-kar"/>
              <w:rPr>
                <w:b/>
                <w:caps/>
              </w:rPr>
            </w:pPr>
            <w:r>
              <w:t>Sapientia Erdélyi Magyar Tudományegyetem</w:t>
            </w:r>
            <w:r w:rsidR="00C275A3">
              <w:br/>
            </w:r>
            <w:r w:rsidR="00DB4822">
              <w:t>Csíkszeredai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Tankó Enikő</w:t>
            </w:r>
          </w:p>
          <w:p w:rsidR="00DB4822" w:rsidRDefault="00DB4822" w:rsidP="00BA6BAF">
            <w:pPr>
              <w:pStyle w:val="Konzulensektitulus"/>
            </w:pPr>
            <w:r w:rsidRPr="00DB4822">
              <w:t>egyetemi adjunktus,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Kreatív megközelítések a szókincs tanításában egy csíkszeredai általános iskolában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nyelvtanulás; játék alapú oktatás; interaktivitás; motiváció</w:t>
      </w:r>
      <w:r>
        <w:t xml:space="preserve"/>
      </w:r>
    </w:p>
    <w:p>
      <w:pPr>
        <w:widowControl w:val="on"/>
        <w:pBdr/>
        <w:spacing w:before="240" w:after="240" w:line="240" w:lineRule="auto"/>
        <w:ind w:left="0" w:right="0"/>
        <w:jc w:val="left"/>
      </w:pPr>
      <w:r>
        <w:rPr>
          <w:color w:val="000000"/>
          <w:sz w:val="24"/>
          <w:szCs w:val="24"/>
        </w:rPr>
        <w:t xml:space="preserve">Language learners must prioritize developing vocabulary skills. However, the rapid advancement of technology and fast-paced lifestyles have had a significant impact on learning and teaching. In addition, although educational games have been utilized for long, digital games with pedagogical aims are now quite popular.</w:t>
      </w:r>
    </w:p>
    <w:p>
      <w:pPr>
        <w:widowControl w:val="on"/>
        <w:pBdr/>
        <w:spacing w:before="240" w:after="240" w:line="240" w:lineRule="auto"/>
        <w:ind w:left="0" w:right="0"/>
        <w:jc w:val="left"/>
      </w:pPr>
      <w:r>
        <w:rPr>
          <w:color w:val="000000"/>
          <w:sz w:val="24"/>
          <w:szCs w:val="24"/>
        </w:rPr>
        <w:t xml:space="preserve">The present research compares how engaged and motivated elementary students are when they learn vocabulary using traditional games versus digital ones. It focuses on short-term observations using a controlled experiment. The control group of 5th grader students received a series of learning sessions enriched with traditional games, and the experimental group of 5th grader students went through the same process with digital games.</w:t>
      </w:r>
    </w:p>
    <w:p>
      <w:pPr>
        <w:widowControl w:val="on"/>
        <w:pBdr/>
        <w:spacing w:before="240" w:after="240" w:line="240" w:lineRule="auto"/>
        <w:ind w:left="0" w:right="0"/>
        <w:jc w:val="left"/>
      </w:pPr>
      <w:r>
        <w:rPr>
          <w:color w:val="000000"/>
          <w:sz w:val="24"/>
          <w:szCs w:val="24"/>
        </w:rPr>
        <w:t xml:space="preserve">Before the pedagogical experiment, both groups completed a written pretest to observe their existing vocabulary related to food and cooking, and evaluating their ability to use these lexical items in context. It included various exercises, both simple and more complex questions, as well as objective and subjective items to have a detailed picture on the students’ vocabulary development.</w:t>
      </w:r>
    </w:p>
    <w:p>
      <w:pPr>
        <w:widowControl w:val="on"/>
        <w:pBdr/>
        <w:spacing w:before="240" w:after="240" w:line="240" w:lineRule="auto"/>
        <w:ind w:left="0" w:right="0"/>
        <w:jc w:val="left"/>
      </w:pPr>
      <w:r>
        <w:rPr>
          <w:color w:val="000000"/>
          <w:sz w:val="24"/>
          <w:szCs w:val="24"/>
        </w:rPr>
        <w:t xml:space="preserve">Following the experiment, both groups completed a post-test, which was a similar, yet somewhat improved version of the pretest. Moreover, it offered an insight into the students’ opinions related to the games played through the learning sessions.</w:t>
      </w:r>
    </w:p>
    <w:p>
      <w:pPr>
        <w:widowControl w:val="on"/>
        <w:pBdr/>
        <w:spacing w:before="240" w:after="240" w:line="240" w:lineRule="auto"/>
        <w:ind w:left="0" w:right="0"/>
        <w:jc w:val="left"/>
      </w:pPr>
      <w:r>
        <w:rPr>
          <w:color w:val="000000"/>
          <w:sz w:val="24"/>
          <w:szCs w:val="24"/>
        </w:rPr>
        <w:t xml:space="preserve">My first hypothesis was that the students of the experimental group would achieve greater success in acquiring vocabulary. Comparing the results regarding the indirect test items and the correct answers, the experimental group showed slightly better improvement. In a later version of this study, these results were analysed with the SPSS Statistics 29.0.2.0 software, including the direct test items (open-ended questions). This analysis showed that the experimental group achieved statistically significant improvement in more types of exercises than the control group.</w:t>
      </w:r>
    </w:p>
    <w:p>
      <w:pPr>
        <w:widowControl w:val="on"/>
        <w:pBdr/>
        <w:spacing w:before="240" w:after="240" w:line="240" w:lineRule="auto"/>
        <w:ind w:left="0" w:right="0"/>
        <w:jc w:val="left"/>
      </w:pPr>
      <w:r>
        <w:rPr>
          <w:color w:val="000000"/>
          <w:sz w:val="24"/>
          <w:szCs w:val="24"/>
        </w:rPr>
        <w:t xml:space="preserve">My second hypothesis was that digital games are more motivating for today’s generation in educational contexts. In this research, this seemed to be true. However, the difference, although visible, it was confirmed not to be statistically significant in a later version of the study.</w:t>
      </w:r>
    </w:p>
    <w:p>
      <w:pPr>
        <w:widowControl w:val="on"/>
        <w:pBdr/>
        <w:spacing w:before="240" w:after="240" w:line="240" w:lineRule="auto"/>
        <w:ind w:left="0" w:right="0"/>
        <w:jc w:val="left"/>
      </w:pPr>
      <w:r>
        <w:rPr>
          <w:color w:val="000000"/>
          <w:sz w:val="24"/>
          <w:szCs w:val="24"/>
        </w:rPr>
        <w:t xml:space="preserve">Overall, the most influential aspect is not whether we use traditional or digital games, but how the process is planned and whether it contributes to students' development. Creative lessons and games can lead to extraordinary moments and great improvements.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47700">
    <w:multiLevelType w:val="hybridMultilevel"/>
    <w:lvl w:ilvl="0" w:tplc="77932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47700">
    <w:abstractNumId w:val="60647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60667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