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SOLYMOSI IZABELLA-ABIGÉL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solymosilizabellaabigel@uni.sapientia.ro</w:t>
            </w:r>
            <w:r w:rsidRPr="001067CD">
              <w:rPr>
                <w:i/>
              </w:rPr>
              <w:br/>
            </w:r>
            <w:r w:rsidR="00A96AEC">
              <w:t>Világ- és összehasonlító irodalom, Angol nyelv és irodalom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 Tapodi Zsuzsánna-Mónika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Festmények Emilé Zola Thérèse Raquin és Gárdonyi Géza Ida regénye című műveiben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Ekpraszisz; Festmények; Transztextualitás; Adaptációelmélet; Összehasonlító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képzőművészet, zene és irodalom a legősibb időkben együtt jelent meg az emberi társadalomban, a</w:t>
      </w:r>
      <w:r>
        <w:rPr>
          <w:color w:val="000000"/>
          <w:sz w:val="24"/>
          <w:szCs w:val="24"/>
        </w:rPr>
        <w:br/>
        <w:t xml:space="preserve">különböző művészeti ágak több szálon kapcsolódtak össze, mivel ugyanazt a kultikus célt szolgálták,</w:t>
      </w:r>
      <w:r>
        <w:rPr>
          <w:color w:val="000000"/>
          <w:sz w:val="24"/>
          <w:szCs w:val="24"/>
        </w:rPr>
        <w:br/>
        <w:t xml:space="preserve">lényegüket tekintve pedig mindig is az emberekben lakó érzéseket, gondolatokat, illetve hangulatokat</w:t>
      </w:r>
      <w:r>
        <w:rPr>
          <w:color w:val="000000"/>
          <w:sz w:val="24"/>
          <w:szCs w:val="24"/>
        </w:rPr>
        <w:br/>
        <w:t xml:space="preserve">hivatottak életre kelteni, csupán más eszközökkel. Az irodalom szavakkal alkot mentális képeket, az</w:t>
      </w:r>
      <w:r>
        <w:rPr>
          <w:color w:val="000000"/>
          <w:sz w:val="24"/>
          <w:szCs w:val="24"/>
        </w:rPr>
        <w:br/>
        <w:t xml:space="preserve">ut pictura poesis a két művészi megnyilvánulás egyenrangúságát fejezi ki. Az ekphraszisz antikvitás</w:t>
      </w:r>
      <w:r>
        <w:rPr>
          <w:color w:val="000000"/>
          <w:sz w:val="24"/>
          <w:szCs w:val="24"/>
        </w:rPr>
        <w:br/>
        <w:t xml:space="preserve">óta ismert eljárása az irodalmi ábrázolásmódnak.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Belle époque néven ismert századfordulós klasszikus modernség korában a festészet volt a vezető</w:t>
      </w:r>
      <w:r>
        <w:rPr>
          <w:color w:val="000000"/>
          <w:sz w:val="24"/>
          <w:szCs w:val="24"/>
        </w:rPr>
        <w:br/>
        <w:t xml:space="preserve">művészeti ág. Zola, aki képekről írt műkritikát, szavakkal, részletezéssel fest plasztikus környezetet, a</w:t>
      </w:r>
      <w:r>
        <w:rPr>
          <w:color w:val="000000"/>
          <w:sz w:val="24"/>
          <w:szCs w:val="24"/>
        </w:rPr>
        <w:br/>
        <w:t xml:space="preserve">regénycselekmény fordulópontja pedig egy festményhez kötődik. Gárdonyi, aki több művészeti ágban</w:t>
      </w:r>
      <w:r>
        <w:rPr>
          <w:color w:val="000000"/>
          <w:sz w:val="24"/>
          <w:szCs w:val="24"/>
        </w:rPr>
        <w:br/>
        <w:t xml:space="preserve">is otthonosan mozgott, a regényében megidézett képek segítségével vázol fel lelki folyamatokat,</w:t>
      </w:r>
      <w:r>
        <w:rPr>
          <w:color w:val="000000"/>
          <w:sz w:val="24"/>
          <w:szCs w:val="24"/>
        </w:rPr>
        <w:br/>
        <w:t xml:space="preserve">mutatja be a művészi és emberi beteljesedés lépcsőfokait.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összehasonlító irodalomban alkalmazott Genette-i transztextualitás és az adaptációelmélet</w:t>
      </w:r>
      <w:r>
        <w:rPr>
          <w:color w:val="000000"/>
          <w:sz w:val="24"/>
          <w:szCs w:val="24"/>
        </w:rPr>
        <w:br/>
        <w:t xml:space="preserve">segítségével kívánom vizsgálni a regényekben bemutatott festmények szerepét.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célja, hogy megvizsgáljam, illetve bebizonyítsam, hogy Émile Zola Thérèse Raquin és</w:t>
      </w:r>
      <w:r>
        <w:rPr>
          <w:color w:val="000000"/>
          <w:sz w:val="24"/>
          <w:szCs w:val="24"/>
        </w:rPr>
        <w:br/>
        <w:t xml:space="preserve">Gárdonyi Géza Ida regénye című műveiben – a hipotézisem szerint–, nem a regények miatt születtek</w:t>
      </w:r>
      <w:r>
        <w:rPr>
          <w:color w:val="000000"/>
          <w:sz w:val="24"/>
          <w:szCs w:val="24"/>
        </w:rPr>
        <w:br/>
        <w:t xml:space="preserve">meg az azokban szereplő festmények, hanem maguk a festmények képezik a regények szövegének</w:t>
      </w:r>
      <w:r>
        <w:rPr>
          <w:color w:val="000000"/>
          <w:sz w:val="24"/>
          <w:szCs w:val="24"/>
        </w:rPr>
        <w:br/>
        <w:t xml:space="preserve">szervezőelvét.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733958">
    <w:multiLevelType w:val="hybridMultilevel"/>
    <w:lvl w:ilvl="0" w:tplc="796312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733958">
    <w:abstractNumId w:val="927339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82468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