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ÉRFALVY DÁVID</w:t>
            </w:r>
          </w:p>
          <w:p w:rsidR="00C275A3" w:rsidRDefault="00CA6B74" w:rsidP="00C275A3">
            <w:pPr>
              <w:pStyle w:val="Hallgatokepzes"/>
            </w:pPr>
            <w:r w:rsidRPr="001067CD">
              <w:rPr>
                <w:i/>
              </w:rPr>
              <w:t>erfalvy.david2@gmail.com</w:t>
            </w:r>
            <w:r w:rsidRPr="001067CD">
              <w:rPr>
                <w:i/>
              </w:rPr>
              <w:br/>
            </w:r>
            <w:r w:rsidR="00A96AEC">
              <w:t>Biológus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Ecsédi Péter</w:t>
            </w:r>
          </w:p>
          <w:p w:rsidR="00DB4822" w:rsidRDefault="00DB4822" w:rsidP="00BA6BAF">
            <w:pPr>
              <w:pStyle w:val="Konzulensektitulus"/>
            </w:pPr>
            <w:r w:rsidRPr="00DB4822">
              <w:t>tudományos munkatárs, ELTE TTK</w:t>
            </w:r>
          </w:p>
        </w:tc>
      </w:tr>
      <w:tr w:rsidR="00DB4822" w:rsidTr="00DB4822">
        <w:tc>
          <w:tcPr>
            <w:tcW w:w="9854" w:type="dxa"/>
          </w:tcPr>
          <w:p w:rsidR="00DB4822" w:rsidRPr="00DB4822" w:rsidRDefault="00DB4822" w:rsidP="00BA6BAF">
            <w:pPr>
              <w:pStyle w:val="Konzulenseknev"/>
            </w:pPr>
            <w:r w:rsidRPr="00DB4822">
              <w:t>Dr. Kovács Mihály</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Egyszálú DNS-kötő fehérje biomérnöki módosítása a folyadék-folyadék fázisszeparáció bakteriális genomkarbantartásban betöltött szerepének feltárása érdekében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liquid-liquid phase separation; ssDNA-binding protein; genome maintenance; E. coli</w:t>
      </w:r>
      <w:r>
        <w:t xml:space="preserve"/>
      </w:r>
    </w:p>
    <w:p>
      <w:pPr>
        <w:widowControl w:val="on"/>
        <w:pBdr/>
        <w:spacing w:before="240" w:after="240" w:line="240" w:lineRule="auto"/>
        <w:ind w:left="0" w:right="0"/>
        <w:jc w:val="left"/>
      </w:pPr>
      <w:r>
        <w:rPr>
          <w:color w:val="000000"/>
          <w:sz w:val="24"/>
          <w:szCs w:val="24"/>
        </w:rPr>
        <w:t xml:space="preserve">It is now known that various membraneless cellular structures in eukaryotes are liquid-liquid phase-separated (LLPS) condensates of proteins and nucleic acids, enabling molecules to accumulate and function in special microenvironments, which could be especially advantageous for bacterial cells lacking inner membrane systems. Our lab showed in 2020 that E. coli single-stranded DNA (ssDNA) binding protein (SSB) confers such propensity, highlighting a new context for its genome metabolic function. My goal was to unravel the importance of SSB-driven LLPS in bacterial physiology and stress response.</w:t>
      </w:r>
    </w:p>
    <w:p>
      <w:pPr>
        <w:widowControl w:val="on"/>
        <w:pBdr/>
        <w:spacing w:before="240" w:after="240" w:line="240" w:lineRule="auto"/>
        <w:ind w:left="0" w:right="0"/>
        <w:jc w:val="left"/>
      </w:pPr>
      <w:r>
        <w:rPr>
          <w:color w:val="000000"/>
          <w:sz w:val="24"/>
          <w:szCs w:val="24"/>
        </w:rPr>
        <w:t xml:space="preserve">For this purpose, I cloned, expressed and purified different EcSSB constructs, in which the intrinsically disordered linker (IDL) region is modified (which region is demonstrated to be important in eliciting LLPS of proteins). After that, the measurement of the ssDNA- and partner binding abilities of these variants followed using fluorescence polarization (FP), as these normal functions of the EcSSB is important to be left unchanged for the observation of the specific effect of the loss of LLPS. The interaction between the oligonucleotide-binding (OB) domain and the IDL C-terminal peptide (CTP) of the IDL was also measured using FP, as this interaction has been suggested to be an important factor in eliciting LLPS of EcSSB. To study this specific effect, the LLPS propensity was evaluated by turbidity measurements and epifluorescence microscopy with the IDL modified constructs, demonstrating how IDLs from different organisms, glycine rich regions, aromatic and cationic residues impact the LLPS propensity of EcSSB.</w:t>
      </w:r>
    </w:p>
    <w:p>
      <w:pPr>
        <w:widowControl w:val="on"/>
        <w:pBdr/>
        <w:spacing w:before="240" w:after="240" w:line="240" w:lineRule="auto"/>
        <w:ind w:left="0" w:right="0"/>
        <w:jc w:val="left"/>
      </w:pPr>
      <w:r>
        <w:rPr>
          <w:color w:val="000000"/>
          <w:sz w:val="24"/>
          <w:szCs w:val="24"/>
        </w:rPr>
        <w:t xml:space="preserve">The results showed that the LLPS propensity is severely affected by the IDL structural changes, while diminishing the importance of the OB domain-CTP interactions. Meanwhile, the ssDNA-binding and partner binding abilities were in the wild-type protein levels in most constructs, which makes some of them great candidates for further in vivo experiments establishing E. coli cell lines with no EcSSB protein condensation forming abilities to understand if LLPS alone confers adaptive advantages to bacteria.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1627">
    <w:multiLevelType w:val="hybridMultilevel"/>
    <w:lvl w:ilvl="0" w:tplc="66453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1627">
    <w:abstractNumId w:val="733116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144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