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BURJÁN TÍMEA</w:t>
            </w:r>
          </w:p>
          <w:p w:rsidR="00C275A3" w:rsidRDefault="00CA6B74" w:rsidP="00C275A3">
            <w:pPr>
              <w:pStyle w:val="Hallgatokepzes"/>
            </w:pPr>
            <w:r w:rsidRPr="001067CD">
              <w:rPr>
                <w:i/>
              </w:rPr>
              <w:t>timiburjan@gmail.com</w:t>
            </w:r>
            <w:r w:rsidRPr="001067CD">
              <w:rPr>
                <w:i/>
              </w:rPr>
              <w:br/>
            </w:r>
            <w:r w:rsidR="00A96AEC">
              <w:t>Molekuláris genetika, sejt- és fejlődésbiológia</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Tibor</w:t>
            </w:r>
          </w:p>
          <w:p w:rsidR="00DB4822" w:rsidRDefault="00DB4822" w:rsidP="00BA6BAF">
            <w:pPr>
              <w:pStyle w:val="Konzulensektitulus"/>
            </w:pPr>
            <w:r w:rsidRPr="00DB4822">
              <w:t>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AUTEN autofágia aktiváló kismolekulák vizsgálata az 1-es típusú spinocerebelláris ataxia Drosophila modellben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autofágia; öregedés; AUTEN; SCA1; EDTP/MTMR14</w:t>
      </w:r>
      <w:r>
        <w:t xml:space="preserve"/>
      </w:r>
    </w:p>
    <w:p>
      <w:pPr>
        <w:widowControl w:val="on"/>
        <w:pBdr/>
        <w:spacing w:before="240" w:after="240" w:line="240" w:lineRule="auto"/>
        <w:ind w:left="0" w:right="0"/>
        <w:jc w:val="left"/>
      </w:pPr>
      <w:r>
        <w:rPr>
          <w:color w:val="000000"/>
          <w:sz w:val="24"/>
          <w:szCs w:val="24"/>
        </w:rPr>
        <w:t xml:space="preserve">Az 1-es típusú spinocerebelláris ataxia (SCA1) egy domináns, autoszomális, neurodegeneratív betegség, melyet az ataxin1 (Atx1) fehérje poliglutamin régiójának mutációja okoz. Az autofágia egy sejten belüli lizoszomális lebontó folyamat, amely segít a káros sejtalkotók lebontásában, biztosítva ezáltal a sejtek homeosztázisának fenntartását. Az autofágia hatékonysága az élettartam során csökken, hiányában neurodegeneráció alakulhat ki. Az AUTEN-67 (A67) és AUTEN-99 (A99) hatóanyagok a makroautofágia aktivátorai, a Vps34 autofág komplex antagonistájának, az MTMR14-nek gátlásán keresztül hatnak. Célul tűztem ki, hogy ezeket a hatóanyagokat megvizsgáljam az SCA1 muslica modelljében.</w:t>
      </w:r>
      <w:r>
        <w:rPr>
          <w:color w:val="000000"/>
          <w:sz w:val="24"/>
          <w:szCs w:val="24"/>
        </w:rPr>
        <w:br/>
        <w:t xml:space="preserve">Eredményeim szerint az A67 és A99 egyaránt aktiválják az autofágiát vadtípusú állatokban és növelik az élettartamot. Teljes agyban előidézett SCA1 betegségmodellben azonban csak az A67 növeli az autofágiát, az élettartamot és javítja az idős állatok mászási képességét. A betegségmodellre jellemző szem aberrációt is csak az A67 kezelés képes csökkenteni. Feltételezhető, hogy a 2 hatóanyag eltérően hat különböző típusú idegsejtekben. A megfigyelt eltéréseket neuronspecifikus hatóanyag vizsgálattal pontosítottam. A vizsgált idegsejtek közül az A99 a glutamaterg, az A67 pedig a kolinerg neuronokra volt nagyobb hatással.</w:t>
      </w:r>
      <w:r>
        <w:rPr>
          <w:color w:val="000000"/>
          <w:sz w:val="24"/>
          <w:szCs w:val="24"/>
        </w:rPr>
        <w:br/>
        <w:t xml:space="preserve">Elmondható tehát, hogy bár a két AUTEN molekula célfehérjéje megegyezik, közöttük idegsejt specifikus eltérések tapasztalhatóak, amely adódhat a neuronok eltérő érzékenységéből vagy a sejtek hatóanyag affinitásából.</w:t>
      </w:r>
      <w:r>
        <w:rPr>
          <w:color w:val="000000"/>
          <w:sz w:val="24"/>
          <w:szCs w:val="24"/>
        </w:rPr>
        <w:br/>
        <w:t xml:space="preserve">Ezen eredmények segítenek az SCA1 betegség áthatóbb megértését, hiszen az eddigi Drosophila modellek az egész agyban vizsgálták a jelenségeket. Ez különösen azért fontos, mert a humán SCA1-ben leginkább a kisagy Purkinje-GABAerg sejtjei érintettek. Az elvégzett kísérletek ezen kívül segítenek az idegsejtspecifikus autofágia farmakológia aktiválás hatását megismerni, ezáltal egy pontosabb SCA1 modellt létrehozni.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79283">
    <w:multiLevelType w:val="hybridMultilevel"/>
    <w:lvl w:ilvl="0" w:tplc="65419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79283">
    <w:abstractNumId w:val="135792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98452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