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 ESZTER ALETTA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eszter.aletta.vig@gmail.com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Pipoly Ivett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széncinege (Parus major) emberrel szembeni kockázatvállaló viselkedésének genetikai háttere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széncinege; DRD4; kockázatvállalás; urbanizáció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zavaráshoz való adaptáció egy összetett mechanizmus, amiben fontos</w:t>
      </w:r>
      <w:r>
        <w:rPr>
          <w:color w:val="000000"/>
          <w:sz w:val="24"/>
          <w:szCs w:val="24"/>
        </w:rPr>
        <w:br/>
        <w:t xml:space="preserve">szerepet játszhat a genetikai alkalmazkodás, ami kutatások szerint megjelenik az urbanizált</w:t>
      </w:r>
      <w:r>
        <w:rPr>
          <w:color w:val="000000"/>
          <w:sz w:val="24"/>
          <w:szCs w:val="24"/>
        </w:rPr>
        <w:br/>
        <w:t xml:space="preserve">állat-populációkban. Ha ezeket a változásokat szabályozó génszakaszokat azonosítjuk,</w:t>
      </w:r>
      <w:r>
        <w:rPr>
          <w:color w:val="000000"/>
          <w:sz w:val="24"/>
          <w:szCs w:val="24"/>
        </w:rPr>
        <w:br/>
        <w:t xml:space="preserve">teljesebb képet kaphatunk a hatásmechanizmusukról is. Vizsgálatunk során a D4-es típusú</w:t>
      </w:r>
      <w:r>
        <w:rPr>
          <w:color w:val="000000"/>
          <w:sz w:val="24"/>
          <w:szCs w:val="24"/>
        </w:rPr>
        <w:br/>
        <w:t xml:space="preserve">dopamin receptort kódoló gén (DRD4), a kockázatvállalással összefüggésbe hozott agyi</w:t>
      </w:r>
      <w:r>
        <w:rPr>
          <w:color w:val="000000"/>
          <w:sz w:val="24"/>
          <w:szCs w:val="24"/>
        </w:rPr>
        <w:br/>
        <w:t xml:space="preserve">receptor gén kapcsolatát néztük széncinegék (Parus major) ember jelenlétében mutatott</w:t>
      </w:r>
      <w:r>
        <w:rPr>
          <w:color w:val="000000"/>
          <w:sz w:val="24"/>
          <w:szCs w:val="24"/>
        </w:rPr>
        <w:br/>
        <w:t xml:space="preserve">viselkedésével fiókanevelés során, két urbanizációs grádiens mentén. A DRD4 öt szakaszán</w:t>
      </w:r>
      <w:r>
        <w:rPr>
          <w:color w:val="000000"/>
          <w:sz w:val="24"/>
          <w:szCs w:val="24"/>
        </w:rPr>
        <w:br/>
        <w:t xml:space="preserve">lévő genotípusokat hasonlítottuk össze 159 széncinege szülő emberrel szemben mutatott</w:t>
      </w:r>
      <w:r>
        <w:rPr>
          <w:color w:val="000000"/>
          <w:sz w:val="24"/>
          <w:szCs w:val="24"/>
        </w:rPr>
        <w:br/>
        <w:t xml:space="preserve">kockázat-vállalásával. Eredményeinkben a szülő madarak zavarás utáni figyelő viselkedése</w:t>
      </w:r>
      <w:r>
        <w:rPr>
          <w:color w:val="000000"/>
          <w:sz w:val="24"/>
          <w:szCs w:val="24"/>
        </w:rPr>
        <w:br/>
        <w:t xml:space="preserve">több vizsgált markerrel is kapcsolatot mutatott. A legerősebb összefüggéseket az ID15, az</w:t>
      </w:r>
      <w:r>
        <w:rPr>
          <w:color w:val="000000"/>
          <w:sz w:val="24"/>
          <w:szCs w:val="24"/>
        </w:rPr>
        <w:br/>
        <w:t xml:space="preserve">ID1213 markereken és az SNP830 urbanizációval való kapcsolata között kaptuk.</w:t>
      </w:r>
      <w:r>
        <w:rPr>
          <w:color w:val="000000"/>
          <w:sz w:val="24"/>
          <w:szCs w:val="24"/>
        </w:rPr>
        <w:br/>
        <w:t xml:space="preserve">Eredményeink megmutatják, hogy egyes markerek akár önmagukban is hatással lehetnek a</w:t>
      </w:r>
      <w:r>
        <w:rPr>
          <w:color w:val="000000"/>
          <w:sz w:val="24"/>
          <w:szCs w:val="24"/>
        </w:rPr>
        <w:br/>
        <w:t xml:space="preserve">kockázatvállalásra, de több marker együttes hatása is alakíthatja a viselkedést. A bemutatott</w:t>
      </w:r>
      <w:r>
        <w:rPr>
          <w:color w:val="000000"/>
          <w:sz w:val="24"/>
          <w:szCs w:val="24"/>
        </w:rPr>
        <w:br/>
        <w:t xml:space="preserve">emberrel szembeni kockázatvállaló viselkedés-elemek jól indikálják a kockázatvállalás</w:t>
      </w:r>
      <w:r>
        <w:rPr>
          <w:color w:val="000000"/>
          <w:sz w:val="24"/>
          <w:szCs w:val="24"/>
        </w:rPr>
        <w:br/>
        <w:t xml:space="preserve">mértékét, a vizsgált markerek közül több ígéretesnek tűnik az emberi zavaráshoz való genetikai</w:t>
      </w:r>
      <w:r>
        <w:rPr>
          <w:color w:val="000000"/>
          <w:sz w:val="24"/>
          <w:szCs w:val="24"/>
        </w:rPr>
        <w:br/>
        <w:t xml:space="preserve">változások vizsgálatához. Pontosabb eredmények érdekében azonban érdemes a vizsgálat</w:t>
      </w:r>
      <w:r>
        <w:rPr>
          <w:color w:val="000000"/>
          <w:sz w:val="24"/>
          <w:szCs w:val="24"/>
        </w:rPr>
        <w:br/>
        <w:t xml:space="preserve">folytatása nagyobb minta-elemszámmal, hogy a ritka genotípusok hatásáról is erősebb képet</w:t>
      </w:r>
      <w:r>
        <w:rPr>
          <w:color w:val="000000"/>
          <w:sz w:val="24"/>
          <w:szCs w:val="24"/>
        </w:rPr>
        <w:br/>
        <w:t xml:space="preserve">kaphassunk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92578">
    <w:multiLevelType w:val="hybridMultilevel"/>
    <w:lvl w:ilvl="0" w:tplc="51735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92578">
    <w:abstractNumId w:val="98692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89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