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OLÁH</w:t>
            </w:r>
          </w:p>
          <w:p w:rsidR="00C275A3" w:rsidRDefault="00CA6B74" w:rsidP="00C275A3">
            <w:pPr>
              <w:pStyle w:val="Hallgatokepzes"/>
            </w:pPr>
            <w:r w:rsidRPr="001067CD">
              <w:rPr>
                <w:i/>
              </w:rPr>
              <w:t>szabolcs.olah99@gmail.com</w:t>
            </w:r>
            <w:r w:rsidRPr="001067CD">
              <w:rPr>
                <w:i/>
              </w:rPr>
              <w:br/>
            </w:r>
            <w:r w:rsidR="00A96AEC">
              <w:t>History</w:t>
            </w:r>
            <w:r w:rsidR="00A96AEC">
              <w:br/>
            </w:r>
            <w:r w:rsidR="00E77B23">
              <w:t>MA, 1. semester</w:t>
            </w:r>
          </w:p>
          <w:p w:rsidR="00C265CE" w:rsidRPr="009E5FF1" w:rsidRDefault="00E77B23" w:rsidP="00BA6BAF">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F. Kiss</w:t>
            </w:r>
          </w:p>
          <w:p w:rsidR="00DB4822" w:rsidRDefault="00DB4822" w:rsidP="00BA6BAF">
            <w:pPr>
              <w:pStyle w:val="Konzulensektitulus"/>
            </w:pPr>
            <w:r w:rsidRPr="00DB4822">
              <w:t>college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Military composition of the vitézek of Jász-Nagykun-Szolnok county in the 1920s and 1930s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Horthy era; Order of Vitéz; Jász-Nagykun-Szolnok county; phaleristics</w:t>
      </w:r>
      <w:r>
        <w:t xml:space="preserve"/>
      </w:r>
    </w:p>
    <w:p>
      <w:pPr>
        <w:widowControl w:val="on"/>
        <w:pBdr/>
        <w:spacing w:before="240" w:after="240" w:line="240" w:lineRule="auto"/>
        <w:ind w:left="0" w:right="0"/>
        <w:jc w:val="left"/>
      </w:pPr>
      <w:r>
        <w:rPr>
          <w:color w:val="000000"/>
          <w:sz w:val="24"/>
          <w:szCs w:val="24"/>
        </w:rPr>
        <w:t xml:space="preserve">The main goal of my research was the analysis of the vitézek who once lived in the area of Jász-Nagykun-Szolnok county, based on a military perspective. According to my thesis, archival sources, as well as the publications of the Vitézi Rend (contemporary ones), formed the foundation of the research, which was further supplemented by the literature written on the topic. I would like to emphasize that the backbone of my research was provided by the two surviving vitézi registries, which can be considered a unique source. According to our current knowledge of Hungarian archives, only the Jász-Nagykun-Szolnok county archive holds vitézi registries.</w:t>
      </w:r>
      <w:r>
        <w:rPr>
          <w:color w:val="000000"/>
          <w:sz w:val="24"/>
          <w:szCs w:val="24"/>
        </w:rPr>
        <w:br/>
        <w:t xml:space="preserve">The study successfully demonstrated that the majority of the county’s vitéz population consisted of those who had earned merit. In other words, former frontline soldiers were overrepresented among the vitézek, meaning that a concentration of military knowledge and experience was gathered in one place, which Horthy could presumably have successfully utilized in the event of an attack threatening his power. When examining the former veterans' branch of service, five branches were identifiable: infantry, cavalry, artillery, engineering corps, and the navy. Among these, the infantry was most prominently represented, which could be traced back to the military of the Austro-Hungarian Empire. Regarding ranks, it was successfully demonstrated that the majority of the personnel belonged to the lower ranks, pointing to the lower segments of society. Additionally, it was found that more than half of the officer corps consisted of civilians with intellectual backgrounds. It is important to note that due to the Treaty of Trianon, membership in the Vitézi Rend had great significance, as they participated in the Levente movement and formed a mobilizable, battle-hardened force. In terms of faleristics, pieces of the Austro-Hungarian Monarchy's system of decorations were overrepresented, with the most commonly held award being the Karl Cross. Moreover, it was established that four foreign countries awarded decorations to the county's later vitézek, among which the most frequent was the Prussian Iron Cross, Second Class. Finally, it was shown that 29 individuals did not meet the minimum requirements for membership in the Vitézi Rend (in terms of decorations), and therefore, in their cases, we must discuss exceptional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46008">
    <w:multiLevelType w:val="hybridMultilevel"/>
    <w:lvl w:ilvl="0" w:tplc="79296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46008">
    <w:abstractNumId w:val="26746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452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