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HATVANI</w:t>
            </w:r>
          </w:p>
          <w:p w:rsidR="00C275A3" w:rsidRDefault="00CA6B74" w:rsidP="00C275A3">
            <w:pPr>
              <w:pStyle w:val="Hallgatokepzes"/>
            </w:pPr>
            <w:r w:rsidRPr="001067CD">
              <w:rPr>
                <w:i/>
              </w:rPr>
              <w:t>tropico740@gmail.com</w:t>
            </w:r>
            <w:r w:rsidRPr="001067CD">
              <w:rPr>
                <w:i/>
              </w:rPr>
              <w:br/>
            </w:r>
            <w:r w:rsidR="00A96AEC">
              <w:t>international economics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Dóra Gréta Petróczy</w:t>
            </w:r>
          </w:p>
          <w:p w:rsidR="00DB4822" w:rsidRDefault="00DB4822" w:rsidP="00BA6BAF">
            <w:pPr>
              <w:pStyle w:val="Konzulensektitulus"/>
            </w:pPr>
            <w:r w:rsidRPr="00DB4822">
              <w:t>senior lecturer, MET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priori voting power in the Council of the European Union - The impact of demographic shifts on the Council's decision-making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 priori voting power; decision making; demographic shifts; Council of the European Union</w:t>
      </w:r>
      <w:r>
        <w:t xml:space="preserve"/>
      </w:r>
    </w:p>
    <w:p>
      <w:pPr>
        <w:widowControl w:val="on"/>
        <w:pBdr/>
        <w:spacing w:before="240" w:after="240" w:line="240" w:lineRule="auto"/>
        <w:ind w:left="0" w:right="0"/>
        <w:jc w:val="left"/>
      </w:pPr>
      <w:r>
        <w:rPr>
          <w:color w:val="000000"/>
          <w:sz w:val="24"/>
          <w:szCs w:val="24"/>
        </w:rPr>
        <w:t xml:space="preserve">The study focuses on examining the a priori power influence observed in the qualified majority voting system of the European Council in the context of demographic changes. The primary research question investigates whether the distribution of a priori power relations among countries in the Council of the European Union will change due to population projections from 2022 to 2100, assuming that the member states and decision-making mechanisms remain unchanged. The secondary question explores whether the a priori power relations will shift if the member states remain constant but the decision-making quotas are modified according to the proposal by Costa et al. (2023).To answer these questions, the Council’s double majority voting system was reconstructed using two game-theoretical models: the first based on the decision rules of the Treaty of Lisbon, and the second on the quota reforms proposed by Costa et al. (2023). The most commonly used measures in the literature, the Banzhaf index and the Shapley-Shubik index, were employed to evaluate a priori voting power. The models were run for each year from 2022 to 2100, utilizing population projections from EUROPOP2023 (Eurostat, 2023b) and the powerindices Python package by Huettner (2023).The study finds that demographic trends shift power from southern and eastern member states—particularly Balkan countries and Poland—toward northern and western countries, with the most significant gains observed in the Scandinavian region. According to the Shapley-Shubik index, the reform proposal by Costa et al. (2023) would diminish the a priori voting power of the five largest member states, while the Banzhaf index suggests a reduction for the seven largest states, benefiting all other member countries in the Council’s decision-making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87535">
    <w:multiLevelType w:val="hybridMultilevel"/>
    <w:lvl w:ilvl="0" w:tplc="15629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87535">
    <w:abstractNumId w:val="24287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637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