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SÁRIK KATA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sarik.kata.sara@gmail.com</w:t>
            </w:r>
            <w:r w:rsidRPr="001067CD">
              <w:rPr>
                <w:i/>
              </w:rPr>
              <w:br/>
            </w:r>
            <w:r w:rsidR="00A96AEC">
              <w:t>Nemzetközi Gazdálkodás és Gazdaságtan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Baranyai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intézményekbe vetett bizalom vizsgálata - az euró bevezetésének hatására Litvániában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Intézményi bizalom, Európai Parlament, Európai Bizottság, Európai Központi Bank, euró, Litvánia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tanulmányom célja, hogy megvizsgáljam hogyan változott az Európai Parlament, az</w:t>
      </w:r>
      <w:r>
        <w:rPr>
          <w:color w:val="000000"/>
          <w:sz w:val="24"/>
          <w:szCs w:val="24"/>
        </w:rPr>
        <w:br/>
        <w:t xml:space="preserve">Európai Bizottság és az Európai Központi Bank iránti bizalom Litvániában az euro</w:t>
      </w:r>
      <w:r>
        <w:rPr>
          <w:color w:val="000000"/>
          <w:sz w:val="24"/>
          <w:szCs w:val="24"/>
        </w:rPr>
        <w:br/>
        <w:t xml:space="preserve">bevezetésének idején, 2014 és 2015 között, valamint az esetleges változást milyen</w:t>
      </w:r>
      <w:r>
        <w:rPr>
          <w:color w:val="000000"/>
          <w:sz w:val="24"/>
          <w:szCs w:val="24"/>
        </w:rPr>
        <w:br/>
        <w:t xml:space="preserve">tényezőkkel lehet összefüggésbe hozni. Probit modellt alkalmazok, demográfiai és egyéb</w:t>
      </w:r>
      <w:r>
        <w:rPr>
          <w:color w:val="000000"/>
          <w:sz w:val="24"/>
          <w:szCs w:val="24"/>
        </w:rPr>
        <w:br/>
        <w:t xml:space="preserve">kontrollváltozókkal, valamint egy euro dummy változóval, amely megmutatja, hogy az</w:t>
      </w:r>
      <w:r>
        <w:rPr>
          <w:color w:val="000000"/>
          <w:sz w:val="24"/>
          <w:szCs w:val="24"/>
        </w:rPr>
        <w:br/>
        <w:t xml:space="preserve">adatok az euró bevezetése előtti vagy utáni időszakban kerültek-e összegyűjtésre.</w:t>
      </w:r>
      <w:r>
        <w:rPr>
          <w:color w:val="000000"/>
          <w:sz w:val="24"/>
          <w:szCs w:val="24"/>
        </w:rPr>
        <w:br/>
        <w:t xml:space="preserve">Eredményeim azt mutatták, hogy Litvániában nőtt a bizalom 2014-ről 2015-re mindhárom</w:t>
      </w:r>
      <w:r>
        <w:rPr>
          <w:color w:val="000000"/>
          <w:sz w:val="24"/>
          <w:szCs w:val="24"/>
        </w:rPr>
        <w:br/>
        <w:t xml:space="preserve">uniós intézmény esetében. A különféle specifikációkból az rajzolódik ki, hogy általában</w:t>
      </w:r>
      <w:r>
        <w:rPr>
          <w:color w:val="000000"/>
          <w:sz w:val="24"/>
          <w:szCs w:val="24"/>
        </w:rPr>
        <w:br/>
        <w:t xml:space="preserve">lehet pozitív bizalmi változással összefüggésbe hozni az euró bevezetését, egyéb tényezőkre</w:t>
      </w:r>
      <w:r>
        <w:rPr>
          <w:color w:val="000000"/>
          <w:sz w:val="24"/>
          <w:szCs w:val="24"/>
        </w:rPr>
        <w:br/>
        <w:t xml:space="preserve">kontrollálva. Azok a válaszadók, akik internethozzáféréssel,vagy magasabb jövedelemmel</w:t>
      </w:r>
      <w:r>
        <w:rPr>
          <w:color w:val="000000"/>
          <w:sz w:val="24"/>
          <w:szCs w:val="24"/>
        </w:rPr>
        <w:br/>
        <w:t xml:space="preserve">rendelkeznek, illetve korábban már hallottak az adott intézményről inkább bíznak a három</w:t>
      </w:r>
      <w:r>
        <w:rPr>
          <w:color w:val="000000"/>
          <w:sz w:val="24"/>
          <w:szCs w:val="24"/>
        </w:rPr>
        <w:br/>
        <w:t xml:space="preserve">intézményben. Az eurobevezetés körüli években látjuk, hogy az európai intézmények</w:t>
      </w:r>
      <w:r>
        <w:rPr>
          <w:color w:val="000000"/>
          <w:sz w:val="24"/>
          <w:szCs w:val="24"/>
        </w:rPr>
        <w:br/>
        <w:t xml:space="preserve">fokozatosan megerősítették hitelességüket Litvániában. Előretekintve más országok</w:t>
      </w:r>
      <w:r>
        <w:rPr>
          <w:color w:val="000000"/>
          <w:sz w:val="24"/>
          <w:szCs w:val="24"/>
        </w:rPr>
        <w:br/>
        <w:t xml:space="preserve">eurobevezetésére, az európai intézmények számára Litvánia példája hasznos információval</w:t>
      </w:r>
      <w:r>
        <w:rPr>
          <w:color w:val="000000"/>
          <w:sz w:val="24"/>
          <w:szCs w:val="24"/>
        </w:rPr>
        <w:br/>
        <w:t xml:space="preserve">szolgálhat.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73750">
    <w:multiLevelType w:val="hybridMultilevel"/>
    <w:lvl w:ilvl="0" w:tplc="774517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73750">
    <w:abstractNumId w:val="620737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3760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