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SÁRA SARIK</w:t>
            </w:r>
          </w:p>
          <w:p w:rsidR="00C275A3" w:rsidRDefault="00CA6B74" w:rsidP="00C275A3">
            <w:pPr>
              <w:pStyle w:val="Hallgatokepzes"/>
            </w:pPr>
            <w:r w:rsidRPr="001067CD">
              <w:rPr>
                <w:i/>
              </w:rPr>
              <w:t>sarik.kata.sara@gmail.com</w:t>
            </w:r>
            <w:r w:rsidRPr="001067CD">
              <w:rPr>
                <w:i/>
              </w:rPr>
              <w:br/>
            </w:r>
            <w:r w:rsidR="00A96AEC">
              <w:t>International Business and Economics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Eszter Baranyai</w:t>
            </w:r>
          </w:p>
          <w:p w:rsidR="00DB4822" w:rsidRDefault="00DB4822" w:rsidP="00BA6BAF">
            <w:pPr>
              <w:pStyle w:val="Konzulensektitulus"/>
            </w:pPr>
            <w:r w:rsidRPr="00DB4822">
              <w:t>master teacher,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impact of the introduction of the euro on trust in the European institutions in Lithuania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Institutional Confidence, European Parliament, European Commission, European Central Bank, euro, Lithuania</w:t>
      </w:r>
      <w:r>
        <w:t xml:space="preserve"/>
      </w:r>
    </w:p>
    <w:p>
      <w:pPr>
        <w:widowControl w:val="on"/>
        <w:pBdr/>
        <w:spacing w:before="240" w:after="240" w:line="240" w:lineRule="auto"/>
        <w:ind w:left="0" w:right="0"/>
        <w:jc w:val="left"/>
      </w:pPr>
      <w:r>
        <w:rPr>
          <w:color w:val="000000"/>
          <w:sz w:val="24"/>
          <w:szCs w:val="24"/>
        </w:rPr>
        <w:t xml:space="preserve">The purpose of my study is to examine how trust in the European Parliament, the European Commission, and the European Central Bank in Lithuania changed between 2014 and 2015 when the euro was introduced, and what factors might be associated with any changes. I use a probit model with demographic and other control variables, and a euro dummy variable to show whether the data were collected before or after the introduction of the euro. My results showed that confidence in Lithuania increased from 2014 to 2015 for all three EU institutions. From the different specifications, it can be drawn that, in general, it is possible to associate a positive change in confidence with the introduction of the euro, controlling for other factors. Respondents who have access to the internet, have a higher income, or have heard of the institutions before are more likely to have confidence in the three institutions. In the years surrounding the introduction of the euro, we see that the European institutions have gradually strengthened their credibility in Lithuania. Looking ahead to the introduction of the euro in other countries, the example of Lithuania can provide useful information for European institutions.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28489">
    <w:multiLevelType w:val="hybridMultilevel"/>
    <w:lvl w:ilvl="0" w:tplc="16414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28489">
    <w:abstractNumId w:val="343284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590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