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SZONYI</w:t>
            </w:r>
          </w:p>
          <w:p w:rsidR="00C275A3" w:rsidRDefault="00CA6B74" w:rsidP="00C275A3">
            <w:pPr>
              <w:pStyle w:val="Hallgatokepzes"/>
            </w:pPr>
            <w:r w:rsidRPr="001067CD">
              <w:rPr>
                <w:i/>
              </w:rPr>
              <w:t>szonyid@gmail.com</w:t>
            </w:r>
            <w:r w:rsidRPr="001067CD">
              <w:rPr>
                <w:i/>
              </w:rPr>
              <w:br/>
            </w:r>
            <w:r w:rsidR="00A96AEC">
              <w:t>International Economics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Kristof Lehmann</w:t>
            </w:r>
          </w:p>
          <w:p w:rsidR="00DB4822" w:rsidRDefault="00DB4822" w:rsidP="00BA6BAF">
            <w:pPr>
              <w:pStyle w:val="Konzulensektitulus"/>
            </w:pPr>
            <w:r w:rsidRPr="00DB4822">
              <w:t>associate professor, METU ÜKTF</w:t>
            </w:r>
          </w:p>
        </w:tc>
      </w:tr>
      <w:tr w:rsidR="00DB4822" w:rsidTr="00DB4822">
        <w:tc>
          <w:tcPr>
            <w:tcW w:w="9854" w:type="dxa"/>
          </w:tcPr>
          <w:p w:rsidR="00DB4822" w:rsidRPr="00DB4822" w:rsidRDefault="00DB4822" w:rsidP="00BA6BAF">
            <w:pPr>
              <w:pStyle w:val="Konzulenseknev"/>
            </w:pPr>
            <w:r w:rsidRPr="00DB4822">
              <w:t>Oliver Nagy</w:t>
            </w:r>
          </w:p>
          <w:p w:rsidR="00DB4822" w:rsidRDefault="00DB4822" w:rsidP="00BA6BAF">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effect of central bank QE and QT announcements symmetric?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monetary policy; QE; QT; bond; event study</w:t>
      </w:r>
      <w:r>
        <w:t xml:space="preserve"/>
      </w:r>
    </w:p>
    <w:p>
      <w:pPr>
        <w:widowControl w:val="on"/>
        <w:pBdr/>
        <w:spacing w:before="240" w:after="240" w:line="240" w:lineRule="auto"/>
        <w:ind w:left="0" w:right="0"/>
        <w:jc w:val="left"/>
      </w:pPr>
      <w:r>
        <w:rPr>
          <w:color w:val="000000"/>
          <w:sz w:val="24"/>
          <w:szCs w:val="24"/>
        </w:rPr>
        <w:t xml:space="preserve">This paper examines the symmetry of the announcement effects of quantitative easing (QE) and quantitative tightening (QT) on 10-year government bond yields in the United States, the Eurozone, and the United Kingdom. I examine 64 central bank announcements over the period from January 1, 2008, to December 30, 2023, using event analysis methodology to estimate the magnitude of abnormal yield changes. While QE announcements cause yields to fall by 4-7 basis points on average, QT announcements cause yields to rise by 1-4 basis points on average. There is heterogeneity in the impact of QE programs: crisis QE triggered a more pronounced decline in yields than accommodation QE. Moreover, active QT announcements by the BoE caused a larger increase in yields than passive QT used by the Fed and the ECB. The results show that while the effect of QE and QT announcements is asymmetric for the Fed, no statistically significant difference can be observed for the ECB and the BoE. The conclusions are also robust to categorizing tapering announcements as QT and to extending the event window to the day after the announcement day, thus examining a two-day time interval. Several factors may explain the different results, such as the use of QT programs in different market environments, the gradualness of central bank communication, or the type of QT (active vs. passive). The study provides important lessons for central banks in designing and communicating QT programs, highlighting the importance of gradual and continuous communication to mitigate market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11440">
    <w:multiLevelType w:val="hybridMultilevel"/>
    <w:lvl w:ilvl="0" w:tplc="44535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11440">
    <w:abstractNumId w:val="39711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61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