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RUBEN ISTVAN DURKO</w:t>
            </w:r>
          </w:p>
          <w:p w:rsidR="00C275A3" w:rsidRDefault="00CA6B74" w:rsidP="00C275A3">
            <w:pPr>
              <w:pStyle w:val="Hallgatokepzes"/>
            </w:pPr>
            <w:r w:rsidRPr="001067CD">
              <w:rPr>
                <w:i/>
              </w:rPr>
              <w:t>rubendurko@gmail.com</w:t>
            </w:r>
            <w:r w:rsidRPr="001067CD">
              <w:rPr>
                <w:i/>
              </w:rPr>
              <w:br/>
            </w:r>
            <w:r w:rsidR="00A96AEC">
              <w:t>International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Baranyai</w:t>
            </w:r>
          </w:p>
          <w:p w:rsidR="00DB4822" w:rsidRDefault="00DB4822" w:rsidP="00BA6BAF">
            <w:pPr>
              <w:pStyle w:val="Konzulensektitulus"/>
            </w:pPr>
            <w:r w:rsidRPr="00DB4822">
              <w:t>master lecturer,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bank capitalisation in lending: the experience of eurozone banks in the light of the 2020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 capital, lending activity, euro area, crises</w:t>
      </w:r>
      <w:r>
        <w:t xml:space="preserve"/>
      </w:r>
    </w:p>
    <w:p>
      <w:pPr>
        <w:widowControl w:val="on"/>
        <w:pBdr/>
        <w:spacing w:before="240" w:after="240" w:line="240" w:lineRule="auto"/>
        <w:ind w:left="0" w:right="0"/>
        <w:jc w:val="left"/>
      </w:pPr>
      <w:r>
        <w:rPr>
          <w:color w:val="000000"/>
          <w:sz w:val="24"/>
          <w:szCs w:val="24"/>
        </w:rPr>
        <w:t xml:space="preserve">Bank regulation is a critical factor for economic stability, as undercapitalised banks' credit risk in the 2007-2009 crisis exacerbated the crisis. In response, the Basel III framework has substantially improved the quantitative and qualitative capital requirements. This paper examines the relationship between the capital position of euro area banks and their lending activity in the crisis starting in 2020. The results show that banks with lower capital did not reduce their lending significantly compared to the 2007-2009 crisis. This suggests that the tighter requirements in the 2010s and the crisis measures introduced from 2020 onwards have been effective in supporting the financial system, which could prevent the crisis from deepening further. No significant relationship between lending and capital levels can be seen in the context of the crisis, even when controlling for capital relief and state guarantee schemes.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04927">
    <w:multiLevelType w:val="hybridMultilevel"/>
    <w:lvl w:ilvl="0" w:tplc="53804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04927">
    <w:abstractNumId w:val="29204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420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