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MOLNÁR</w:t>
            </w:r>
          </w:p>
          <w:p w:rsidR="00C275A3" w:rsidRDefault="00CA6B74" w:rsidP="00C275A3">
            <w:pPr>
              <w:pStyle w:val="Hallgatokepzes"/>
            </w:pPr>
            <w:r w:rsidRPr="001067CD">
              <w:rPr>
                <w:i/>
              </w:rPr>
              <w:t>molnar.tamas314@gmail.com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Vonnák</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central bank communication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text analysis; central bank; communication; exchange rate; interest rate expectation</w:t>
      </w:r>
      <w:r>
        <w:t xml:space="preserve"/>
      </w:r>
    </w:p>
    <w:p>
      <w:pPr>
        <w:widowControl w:val="on"/>
        <w:pBdr/>
        <w:spacing w:before="240" w:after="240" w:line="240" w:lineRule="auto"/>
        <w:ind w:left="0" w:right="0"/>
        <w:jc w:val="left"/>
      </w:pPr>
      <w:r>
        <w:rPr>
          <w:color w:val="000000"/>
          <w:sz w:val="24"/>
          <w:szCs w:val="24"/>
        </w:rPr>
        <w:t xml:space="preserve">In this study, I analyzed the market impact of monetary policy statements issued by the National Bank of Hungary (NBH) on two key financial indicators: the exchange rate of the Hungarian forint against the euro (EURHUF) and the 3-month forward rate agreement (3x6 FRA). The investigation utilized high-frequency event analysis to assess the immediate effects of these statements, while their sentiment was determined using advanced text analysis techniques. This approach enabled a nuanced classification of the monetary policy stance as either tightening (hawkish) or easing (dovish). To approximate market expectations, I incorporated the sentiment of prior monetary policy statements alongside macroeconomic data and changes in market indicators. The results indicate that deviations between the sentiment of a central bank statement and prevailing market expectations have a statistically significant impact on the EURHUF exchange rate and the 3x6 FRA yield. The magnitude and direction of these effects vary with the time window under analysis: while the impact on the FRA yield diminishes over time, the effect on the EURHUF exchange rate grows. These dynamics can be attributed to multiple underlying factors. Moreover, the surprise component of the monetary policy statement, coupled with the euro-dollar exchange rate, plays a significant role in shaping the observed outcomes for both variables. Variance decomposition of the explanatory variables revealed that a considerable share of asset price fluctuations during the analyzed periods can be attributed to the unexpected elements of the statements. These findings underscore the statistically measurable influence of central bank communication on financial asset prices, emphasizing the importance of the messages conveyed within official statements. Consequently, central banks should prioritize precision and clarity in their messaging, particularly regarding key themes, to effectively manage market expectations and ensure policy effectiveness.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55162">
    <w:multiLevelType w:val="hybridMultilevel"/>
    <w:lvl w:ilvl="0" w:tplc="67365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55162">
    <w:abstractNumId w:val="12655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657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