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SZŰCS</w:t>
            </w:r>
          </w:p>
          <w:p w:rsidR="00C275A3" w:rsidRDefault="00CA6B74" w:rsidP="00C275A3">
            <w:pPr>
              <w:pStyle w:val="Hallgatokepzes"/>
            </w:pPr>
            <w:r w:rsidRPr="001067CD">
              <w:rPr>
                <w:i/>
              </w:rPr>
              <w:t>szucssandor731@gmail.com</w:t>
            </w:r>
            <w:r w:rsidRPr="001067CD">
              <w:rPr>
                <w:i/>
              </w:rPr>
              <w:br/>
            </w:r>
            <w:r w:rsidR="00A96AEC">
              <w:t>International economy and business</w:t>
            </w:r>
            <w:r w:rsidR="00A96AEC">
              <w:br/>
            </w:r>
            <w:r w:rsidR="00E77B23">
              <w:t>MSc, 2.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Balázs Vonnák</w:t>
            </w:r>
          </w:p>
          <w:p w:rsidR="00DB4822" w:rsidRDefault="00DB4822" w:rsidP="00BA6BAF">
            <w:pPr>
              <w:pStyle w:val="Konzulensektitulus"/>
            </w:pPr>
            <w:r w:rsidRPr="00DB4822">
              <w:t>associate professor,  Hungarian National Bank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ECB interest rate decisions on Czech, Polish and Hungarian asset prices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ECB; spillover effect; monetary policy shock; information effect</w:t>
      </w:r>
      <w:r>
        <w:t xml:space="preserve"/>
      </w:r>
    </w:p>
    <w:p>
      <w:pPr>
        <w:widowControl w:val="on"/>
        <w:pBdr/>
        <w:spacing w:before="240" w:after="240" w:line="240" w:lineRule="auto"/>
        <w:ind w:left="0" w:right="0"/>
        <w:jc w:val="left"/>
      </w:pPr>
      <w:r>
        <w:rPr>
          <w:color w:val="000000"/>
          <w:sz w:val="24"/>
          <w:szCs w:val="24"/>
        </w:rPr>
        <w:t xml:space="preserve">Our study examines the spillover effect of the ECB's interest rate decision in the case of the Czech Republic, Poland, and Hungary. These countries are closely linked to the Eurozone, but are not members of it. Our first research question: how does the ECB's monetary policy affect the Czech, Polish, and Hungarian exchange rates, stock indices, and bond yields? Our second research question is the following: which spillover channel is stronger in the above-mentioned three countries, the financial or the real economic channel? Our study uses linear regressions to grip shocks caused by the ECB. Regressions were first performed for the entire sample. We then split the entire sample into two sub-samples, where either the monetary shock or the information shock dominates, based on the comovement between the interest rates and stock market indices. The spillover effect was analised in a time window between ten minutes before the press release and seventy minutes after the start of the press conference. We gripped the financial channel with the two-year EONIA interest rate swap, while the real economy channel was gripped with the Stoxx50 stock index. The dependent variables were Czech, Polish and Hungarian exchange rate changes, one-year and ten-year government bond yields, and stock indices. Almost everywhere, negative coefficients were obtained for the exchange rate, so the euro is depreciated, not to a large extent, compared to the currencies of the other three countries. In the case of stock markets, we could see that the coefficient of the two-year EONIA interest rate swap only got a significant value in less than half of the cases, while in the case of the Stoxx50 stock index, we almost always got significant results at one percent, regardless of whether we look at the entire or the two sub-samples. In the case of government bonds, we have seen that the two-year EONIA interest rate swap has no significant effect in the case of the entire sample, and the Stoxx50 stock index is only significant in the case of ten-year government bonds. Based on the results, we state that the real economic channel is the one that more dominantly determines the change in asset prices in the three countries, and together with the financial channel, they do it in a variety of ways.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666798">
    <w:multiLevelType w:val="hybridMultilevel"/>
    <w:lvl w:ilvl="0" w:tplc="134559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666798">
    <w:abstractNumId w:val="796667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23013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