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ISTVÁN PÓKÁSZ</w:t>
            </w:r>
          </w:p>
          <w:p w:rsidR="00C275A3" w:rsidRDefault="00CA6B74" w:rsidP="00C275A3">
            <w:pPr>
              <w:pStyle w:val="Hallgatokepzes"/>
            </w:pPr>
            <w:r w:rsidRPr="001067CD">
              <w:rPr>
                <w:i/>
              </w:rPr>
              <w:t>zolip99@gmail.com</w:t>
            </w:r>
            <w:r w:rsidRPr="001067CD">
              <w:rPr>
                <w:i/>
              </w:rPr>
              <w:br/>
            </w:r>
            <w:r w:rsidR="00A96AEC">
              <w:t>International Business and Economics</w:t>
            </w:r>
            <w:r w:rsidR="00A96AEC">
              <w:br/>
            </w:r>
            <w:r w:rsidR="00E77B23">
              <w:t>MSc, 4.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Chen Chaoyi</w:t>
            </w:r>
          </w:p>
          <w:p w:rsidR="00DB4822" w:rsidRDefault="00DB4822" w:rsidP="00BA6BAF">
            <w:pPr>
              <w:pStyle w:val="Konzulensektitulus"/>
            </w:pPr>
            <w:r w:rsidRPr="00DB4822">
              <w:t>senior lecturer,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Growth and Financial Depth: The Role of Institutional Quality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growth; econometrics; statistics; finance</w:t>
      </w:r>
      <w:r>
        <w:t xml:space="preserve"/>
      </w:r>
    </w:p>
    <w:p>
      <w:pPr>
        <w:widowControl w:val="on"/>
        <w:pBdr/>
        <w:spacing w:before="240" w:after="240" w:line="240" w:lineRule="auto"/>
        <w:ind w:left="0" w:right="0"/>
        <w:jc w:val="left"/>
      </w:pPr>
      <w:r>
        <w:rPr>
          <w:color w:val="000000"/>
          <w:sz w:val="24"/>
          <w:szCs w:val="24"/>
        </w:rPr>
        <w:t xml:space="preserve">In this paper, we analyze the potential nonlinear impact of economic growth on financial depth. In particular, we argue that the nonlinearity is driven by a threshold effect of the institutional quality level which represents a novel approach in the literature. We utilize a panel data set from 2000 to 2007, covering 114 countries and employ a panel FD-GMM threshold model (Seo and Shin (2016)) which allows for simultaneity between the two variables. We find that there is some, although not overwhelming, evidence of the posited nonlinearity. In high regimes, the coefficients of Real GDP growth are, in most cases, markedly different from their coefficients in low regimes which signifies that institutional quality can determine the nature of the relationship between economic growth and financial depth.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059879">
    <w:multiLevelType w:val="hybridMultilevel"/>
    <w:lvl w:ilvl="0" w:tplc="862835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059879">
    <w:abstractNumId w:val="440598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62078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