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VILONYA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marvilo.mv@gmail.com</w:t>
            </w:r>
            <w:r w:rsidRPr="001067CD">
              <w:rPr>
                <w:i/>
              </w:rPr>
              <w:br/>
            </w:r>
            <w:r w:rsidR="00A96AEC">
              <w:t>international economy and business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Malatinszky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Political Economy of Construction Companies Headquaters'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political economy; construction industry; finance; regression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Examining and measuring the performance and added value of the small and medium-sized enterprise sector is an important competitiveness issue. In the present study, I have examined the relationship of the municipality where the enterprises are headquartered with financial indicators, with particular emphasis on the municipality's political affiliation. I compared data from thousands of construction companies in Hungary from 2010 to 2022, first using z-tests and then linear regression techniques. The results of the study show that, although differences in financial indicators can be detected between companies in opposition and pro-government municipalities in some years, linear regression does not reveal a significant causal relationship between municipal election results and the performance of companies. This highlights the problematic nature of the sample and raises the prospect of a different methodology that is better able to capture the political relationships. Taken as a whole, the research can therefore be a starting point for a deeper analysis of the political determinants of corporate sector success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49536">
    <w:multiLevelType w:val="hybridMultilevel"/>
    <w:lvl w:ilvl="0" w:tplc="56945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49536">
    <w:abstractNumId w:val="452495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707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