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BARNABAS GARDAI</w:t>
            </w:r>
          </w:p>
          <w:p w:rsidR="00C275A3" w:rsidRDefault="00CA6B74" w:rsidP="00C275A3">
            <w:pPr>
              <w:pStyle w:val="Hallgatokepzes"/>
            </w:pPr>
            <w:r w:rsidRPr="001067CD">
              <w:rPr>
                <w:i/>
              </w:rPr>
              <w:t>barnabasgardai@gmail.com</w:t>
            </w:r>
            <w:r w:rsidRPr="001067CD">
              <w:rPr>
                <w:i/>
              </w:rPr>
              <w:br/>
            </w:r>
            <w:r w:rsidR="00A96AEC">
              <w:t>International economy and economics</w:t>
            </w:r>
            <w:r w:rsidR="00A96AEC">
              <w:br/>
            </w:r>
            <w:r w:rsidR="00E77B23">
              <w:t>MSc, 2. semester</w:t>
            </w:r>
          </w:p>
          <w:p w:rsidR="00C265CE" w:rsidRPr="009E5FF1" w:rsidRDefault="00E77B23" w:rsidP="00BA6BAF">
            <w:pPr>
              <w:pStyle w:val="Hallgatointezmeny-kar"/>
              <w:rPr>
                <w:b/>
                <w:caps/>
              </w:rPr>
            </w:pPr>
            <w:r>
              <w:t>John von Neumann University</w:t>
            </w:r>
            <w:r w:rsidR="00C275A3">
              <w:br/>
            </w:r>
            <w:r w:rsidR="00DB4822">
              <w:t>Faculty of Economics and Business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Gábor Neszveda</w:t>
            </w:r>
          </w:p>
          <w:p w:rsidR="00DB4822" w:rsidRDefault="00DB4822" w:rsidP="00BA6BAF">
            <w:pPr>
              <w:pStyle w:val="Konzulensektitulus"/>
            </w:pPr>
            <w:r w:rsidRPr="00DB4822">
              <w:t>associate professor, NJE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Analysing the 52-week high effect on the Budapest Stock Exchange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52-week high; trading strategy; anchoring effect; stock returns</w:t>
      </w:r>
      <w:r>
        <w:t xml:space="preserve"/>
      </w:r>
    </w:p>
    <w:p>
      <w:pPr>
        <w:widowControl w:val="on"/>
        <w:pBdr/>
        <w:spacing w:before="240" w:after="240" w:line="240" w:lineRule="auto"/>
        <w:ind w:left="0" w:right="0"/>
        <w:jc w:val="left"/>
      </w:pPr>
      <w:r>
        <w:rPr>
          <w:color w:val="000000"/>
          <w:sz w:val="24"/>
          <w:szCs w:val="24"/>
        </w:rPr>
        <w:t xml:space="preserve">The study analyses the 52-week high effect on the Budapest Stock Exchange (BÉT) for all stocks traded in HUF between 1994 and 2023. The essence of the phenomenon is that stocks traded at prices near their 52-week high during a given month tend to outperform in the following period those traded at prices farther from their highs, as observed on various stock exchanges. The study aims to determine whether the 52-week high phenomenon can be observed on the BÉT and whether a trading strategy based on this phenomenon is profitable.</w:t>
      </w:r>
    </w:p>
    <w:p>
      <w:pPr>
        <w:widowControl w:val="on"/>
        <w:pBdr/>
        <w:spacing w:before="240" w:after="240" w:line="240" w:lineRule="auto"/>
        <w:ind w:left="0" w:right="0"/>
        <w:jc w:val="left"/>
      </w:pPr>
      <w:r>
        <w:rPr>
          <w:color w:val="000000"/>
          <w:sz w:val="24"/>
          <w:szCs w:val="24"/>
        </w:rPr>
        <w:t xml:space="preserve">To conduct the analysis, stocks were sorted into three categories based on the proximity of their monthly closing price to their 52-week high: Winners (top 30%), Neutrals (middle 40%), and Losers (bottom 30%). The study employs two approaches to investigate the phenomenon: descriptive statistical analysis and trading strategy simulation. In the descriptive statistical analysis, the 1-, 2-, 3-, 6-, and 12-month returns of stocks in each category are evaluated using both the full and trimmed datasets. The relationship between returns and proximity is examined using linear regression. The trading strategy analyzed in the study involves purchasing the Winners or Losers of the month, and holding them in an unweighted portfolio for six months before selling them.</w:t>
      </w:r>
    </w:p>
    <w:p>
      <w:pPr>
        <w:widowControl w:val="on"/>
        <w:pBdr/>
        <w:spacing w:before="240" w:after="240" w:line="240" w:lineRule="auto"/>
        <w:ind w:left="0" w:right="0"/>
        <w:jc w:val="left"/>
      </w:pPr>
      <w:r>
        <w:rPr>
          <w:color w:val="000000"/>
          <w:sz w:val="24"/>
          <w:szCs w:val="24"/>
        </w:rPr>
        <w:t xml:space="preserve">On the full dataset, the returns of Winners are significantly positive across all examined time horizons, yet the average returns of Losers are higher. The opposite is true for the median values. The relationship between proximity and returns is negative here, while it is significantly positive on the trimmed dataset. This surprising result may be explained by reversion and Losers’ higher share of extreme return values.</w:t>
      </w:r>
    </w:p>
    <w:p>
      <w:pPr>
        <w:widowControl w:val="on"/>
        <w:pBdr/>
        <w:spacing w:before="240" w:after="240" w:line="240" w:lineRule="auto"/>
        <w:ind w:left="0" w:right="0"/>
        <w:jc w:val="left"/>
      </w:pPr>
      <w:r>
        <w:rPr>
          <w:color w:val="000000"/>
          <w:sz w:val="24"/>
          <w:szCs w:val="24"/>
        </w:rPr>
        <w:t xml:space="preserve">No significant differences are found between the average returns of the trading strategies or compared to the BUX index. Based on the cumulative returns of the simulation, no clear dominance of any strategy can be established in the long term - different strategies performed better during different periods. The cumulative returns of the Winner strategy are positive, but surprisingly, the Loser strategy significantly outperformed it between 2017 and 2023. This result may also be attributed to reversion.</w:t>
      </w:r>
    </w:p>
    <w:p>
      <w:pPr>
        <w:widowControl w:val="on"/>
        <w:pBdr/>
        <w:spacing w:before="240" w:after="240" w:line="240" w:lineRule="auto"/>
        <w:ind w:left="0" w:right="0"/>
        <w:jc w:val="left"/>
      </w:pPr>
      <w:r>
        <w:rPr>
          <w:color w:val="000000"/>
          <w:sz w:val="24"/>
          <w:szCs w:val="24"/>
        </w:rPr>
        <w:t xml:space="preserve">The analysis provides no conclusive evidence for the existence of the 52-week high effect on the BÉT. While the strategy based on the phenomenon can be profitable, it is often dominated by either the BUX index or the opposite trading strategy.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724435">
    <w:multiLevelType w:val="hybridMultilevel"/>
    <w:lvl w:ilvl="0" w:tplc="3986339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724435">
    <w:abstractNumId w:val="817244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6096175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