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AGNES LEHNER</w:t>
            </w:r>
          </w:p>
          <w:p w:rsidR="00C275A3" w:rsidRDefault="00CA6B74" w:rsidP="00C275A3">
            <w:pPr>
              <w:pStyle w:val="Hallgatokepzes"/>
            </w:pPr>
            <w:r w:rsidRPr="001067CD">
              <w:rPr>
                <w:i/>
              </w:rPr>
              <w:t>kataagnes.lehner@gmail.com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Marcell Granát</w:t>
            </w:r>
          </w:p>
          <w:p w:rsidR="00DB4822" w:rsidRDefault="00DB4822" w:rsidP="00BA6BAF">
            <w:pPr>
              <w:pStyle w:val="Konzulensektitulus"/>
            </w:pPr>
            <w:r w:rsidRPr="00DB4822">
              <w:t>Assistant 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Hashtags to the Conflict: How Does Twitter Reflect the Uncertainty of the Russia-Ukraine War?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EPU; Russia-Ukraine; Twitter; VAR; Spillover</w:t>
      </w:r>
      <w:r>
        <w:t xml:space="preserve"/>
      </w:r>
    </w:p>
    <w:p>
      <w:pPr>
        <w:widowControl w:val="on"/>
        <w:pBdr/>
        <w:spacing w:before="240" w:after="240" w:line="240" w:lineRule="auto"/>
        <w:ind w:left="0" w:right="0"/>
        <w:jc w:val="left"/>
      </w:pPr>
      <w:r>
        <w:rPr>
          <w:color w:val="000000"/>
          <w:sz w:val="24"/>
          <w:szCs w:val="24"/>
        </w:rPr>
        <w:t xml:space="preserve">In this study, I developed a daily frequency measure of economic and political uncertainty related to the Russia-Ukraine conflict, referred to as the Twitter Uncertainty Index (TEPUW). The baseline data for my analysis consisted of over 17 million English-language tweets about the Russia-Ukraine conflict, spanning from the outbreak of the war on February 24, 2022, to April 24, 2023. The TEPUW index was constructed using text analysis methods applied to this dataset. Subsequently, I estimated a VAR model and examined how a shock in uncertainty impacts fifteen economic and financial indicators, as well as the significant spillover effects among them. Overall, the findings suggest that the uncertainty measured on Twitter and the focus of public attention shifted over time, with the initial intense attention gradually waning as the conflict dragged on. It is evident that while social media was surprised by the outbreak of the war and the accompanying uncertainty, financial market participants had already incorporated these developments into their expectations.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72038">
    <w:multiLevelType w:val="hybridMultilevel"/>
    <w:lvl w:ilvl="0" w:tplc="47643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72038">
    <w:abstractNumId w:val="49972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659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