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ROBERTA BEZZEG</w:t>
            </w:r>
          </w:p>
          <w:p w:rsidR="00C275A3" w:rsidRDefault="00CA6B74" w:rsidP="00C275A3">
            <w:pPr>
              <w:pStyle w:val="Hallgatokepzes"/>
            </w:pPr>
            <w:r w:rsidRPr="001067CD">
              <w:rPr>
                <w:i/>
              </w:rPr>
              <w:t>hannaszjg14@gmail.com</w:t>
            </w:r>
            <w:r w:rsidRPr="001067CD">
              <w:rPr>
                <w:i/>
              </w:rPr>
              <w:br/>
            </w:r>
            <w:r w:rsidR="00A96AEC">
              <w:t>International Economics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Spéder</w:t>
            </w:r>
          </w:p>
          <w:p w:rsidR="00DB4822" w:rsidRDefault="00DB4822" w:rsidP="00BA6BAF">
            <w:pPr>
              <w:pStyle w:val="Konzulensektitulus"/>
            </w:pPr>
            <w:r w:rsidRPr="00DB4822">
              <w:t>master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human capital expulsion on economic performance - through the example of the forced migration of Germans from Hungary after WW2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history; forced migration; innovation; economic growth; human capital</w:t>
      </w:r>
      <w:r>
        <w:t xml:space="preserve"/>
      </w:r>
    </w:p>
    <w:p>
      <w:pPr>
        <w:widowControl w:val="on"/>
        <w:pBdr/>
        <w:spacing w:before="240" w:after="240" w:line="240" w:lineRule="auto"/>
        <w:ind w:left="0" w:right="0"/>
        <w:jc w:val="left"/>
      </w:pPr>
      <w:r>
        <w:rPr>
          <w:color w:val="000000"/>
          <w:sz w:val="24"/>
          <w:szCs w:val="24"/>
        </w:rPr>
        <w:t xml:space="preserve">The topic of the study is the impact of human capital outflow on economic growth. The research question explores how the expulsion of the German minority from Hungary after World War II influenced the innovation potential of affected municipalities. The main hypothesis of the study is that municipalities more intensively affected by the expulsions currently possess lower innovation potential compared to those that were less or not affected at all.</w:t>
      </w:r>
    </w:p>
    <w:p>
      <w:pPr>
        <w:widowControl w:val="on"/>
        <w:pBdr/>
        <w:spacing w:before="240" w:after="240" w:line="240" w:lineRule="auto"/>
        <w:ind w:left="0" w:right="0"/>
        <w:jc w:val="left"/>
      </w:pPr>
      <w:r>
        <w:rPr>
          <w:color w:val="000000"/>
          <w:sz w:val="24"/>
          <w:szCs w:val="24"/>
        </w:rPr>
        <w:t xml:space="preserve">The research utilizes data from the 1941, 1949, and 2022 censuses, the 1945 Nomenclature, and municipality-level data from the TEIR database. The methodology applied in this paper is cross-sectional linear regression analysis.</w:t>
      </w:r>
    </w:p>
    <w:p>
      <w:pPr>
        <w:widowControl w:val="on"/>
        <w:pBdr/>
        <w:spacing w:before="240" w:after="240" w:line="240" w:lineRule="auto"/>
        <w:ind w:left="0" w:right="0"/>
        <w:jc w:val="left"/>
      </w:pPr>
      <w:r>
        <w:rPr>
          <w:color w:val="000000"/>
          <w:sz w:val="24"/>
          <w:szCs w:val="24"/>
        </w:rPr>
        <w:t xml:space="preserve">The findings indicate that both the fact and intensity of the expulsion of the German minority had a significant, long-term, negative impact on the innovation potential of the affected areas. An increase in expulsion intensity by one unit is associated with a 7.8% decrease in per capita income within the aggregated personal income tax base at the municipal level. A long-term negative effect on entrepreneurial activity is also evident, as the number of registered economic organizations is 1.27% lower in municipalities affected by the expulsions. The proportion of active agricultural enterprises and education-related services were also negatively impacted by the expulsions.</w:t>
      </w:r>
    </w:p>
    <w:p>
      <w:pPr>
        <w:widowControl w:val="on"/>
        <w:pBdr/>
        <w:spacing w:before="240" w:after="240" w:line="240" w:lineRule="auto"/>
        <w:ind w:left="0" w:right="0"/>
        <w:jc w:val="left"/>
      </w:pPr>
      <w:r>
        <w:rPr>
          <w:color w:val="000000"/>
          <w:sz w:val="24"/>
          <w:szCs w:val="24"/>
        </w:rPr>
        <w:t xml:space="preserve">Regarding educational outcomes, a one-unit increase in expulsion intensity corresponds to a 2.28% decrease in the number of individuals with secondary education. The study highlights that forced migration impacts not only host economies but also home countries. These effects are often long-lasting and negative, as significant innovation potential is lost along with the outflow of human capital.</w:t>
      </w:r>
    </w:p>
    <w:p>
      <w:pPr>
        <w:widowControl w:val="on"/>
        <w:pBdr/>
        <w:spacing w:before="240" w:after="240" w:line="240" w:lineRule="auto"/>
        <w:ind w:left="0" w:right="0"/>
        <w:jc w:val="left"/>
      </w:pPr>
      <w:r>
        <w:rPr>
          <w:color w:val="000000"/>
          <w:sz w:val="24"/>
          <w:szCs w:val="24"/>
        </w:rPr>
        <w:t xml:space="preserve">The main conclusion of the study is that forced expulsions are not only ethically and morally objectionable but also economically and competitively questionable.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12881">
    <w:multiLevelType w:val="hybridMultilevel"/>
    <w:lvl w:ilvl="0" w:tplc="4931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12881">
    <w:abstractNumId w:val="96912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386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