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JÓZSEF CSILLAG</w:t>
            </w:r>
          </w:p>
          <w:p w:rsidR="00C275A3" w:rsidRDefault="00CA6B74" w:rsidP="00C275A3">
            <w:pPr>
              <w:pStyle w:val="Hallgatokepzes"/>
            </w:pPr>
            <w:r w:rsidRPr="001067CD">
              <w:rPr>
                <w:i/>
              </w:rPr>
              <w:t>csillagbalazs20@gmail.com</w:t>
            </w:r>
            <w:r w:rsidRPr="001067CD">
              <w:rPr>
                <w:i/>
              </w:rPr>
              <w:br/>
            </w:r>
            <w:r w:rsidR="00A96AEC">
              <w:t>International economics and management</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Neszveda</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Inflation Expectation with Financial Market Characteristics An Experiment with Tips Yields Based Inflation Compensation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Inflation Expectation, TIPS, Backcasting</w:t>
      </w:r>
      <w:r>
        <w:t xml:space="preserve"/>
      </w:r>
    </w:p>
    <w:p>
      <w:pPr>
        <w:widowControl w:val="on"/>
        <w:pBdr/>
        <w:spacing w:before="240" w:after="240" w:line="240" w:lineRule="auto"/>
        <w:ind w:left="0" w:right="0"/>
        <w:jc w:val="left"/>
      </w:pPr>
      <w:r>
        <w:rPr>
          <w:color w:val="000000"/>
          <w:sz w:val="24"/>
          <w:szCs w:val="24"/>
        </w:rPr>
        <w:t xml:space="preserve">Comparing the TIPS yield curve with the corresponding nominal yield curve allows to compute high frequency measure of inflation compensation. However, the TIPS-based inflation compensation term structure’s usage is limited due to the relatively short time period for which data is available. For that reason the literature tried to extend the time series of inflation compensation to the past - mainly employing OLS, exploiting the relationship between nominal yields and inflation compensation. In an attempt to backcast inflation expectations more accurately this study uses return data for characteristic-managed portfolios (factors) to model inflation expectation with LightGBM, a gradient boosting framework that uses tree based learning algorithms. Factor-based out-of-sample estimations are compared to nominal yield based estimations which is widely used in the literature. Executing a rolling window backtest covering the period from 2010 to 2022 showed, that the factor-based model consistently underperformed compared to the nominal yield-based model. The mean absolute percentage error (MAPE) of the factor-based model was notably higher at 23.11%, in contrast to the 11.53% MAPE of nominal yield-based estimations. Additionally, factor-based estimations showed greater volatility and appeared to be unable to capture fluctuations in inflation expectations over time, often converging towards the mean. This inability to reflect deviations in breakeven inflation rates suggests that factors, in this form, are unsuitable for backcasting inflation expectations. Furthermore, an important finding of this study is that LightGBM-based predictions outperformed those derived from OLS, indicating that the introduction of LightGBM represents an improvement over existing backcasted inflation expectation methodologies.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85899">
    <w:multiLevelType w:val="hybridMultilevel"/>
    <w:lvl w:ilvl="0" w:tplc="50885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85899">
    <w:abstractNumId w:val="37885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093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