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CA6B74" w:rsidP="00C275A3">
            <w:pPr>
              <w:pStyle w:val="Hallgatokepzes"/>
            </w:pPr>
            <w:r w:rsidRPr="001067CD">
              <w:rPr>
                <w:i/>
              </w:rPr>
              <w:t>mikoszabi25@gmail.com</w:t>
            </w:r>
            <w:r w:rsidRPr="001067CD">
              <w:rPr>
                <w:i/>
              </w:rPr>
              <w:br/>
            </w:r>
            <w:r w:rsidR="00A96AEC">
              <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
            </w:r>
          </w:p>
          <w:p w:rsidR="00DB4822" w:rsidRDefault="00DB4822" w:rsidP="00BA6BAF">
            <w:pPr>
              <w:pStyle w:val="Konzulensektitulus"/>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reserve currency; government bond yield; debt financing; central bank balance sheet</w:t>
      </w:r>
      <w:r>
        <w:t xml:space="preserve"/>
      </w:r>
    </w:p>
    <w:p>
      <w:pPr>
        <w:widowControl w:val="on"/>
        <w:pBdr/>
        <w:spacing w:before="240" w:after="240" w:line="240" w:lineRule="auto"/>
        <w:ind w:left="0" w:right="0"/>
        <w:jc w:val="left"/>
      </w:pPr>
      <w:r>
        <w:rPr>
          <w:color w:val="000000"/>
          <w:sz w:val="24"/>
          <w:szCs w:val="24"/>
        </w:rPr>
        <w:t xml:space="preserve">Recent increases in U.S. Treasury note yields have cast doubt on a long-recognised benefit of the dollar’s international reserve role for the United States: the ability to borrow at low costs. This paper investigates whether demand by foreign reserves significantly reduces interest rates on the government bonds of reserve currency issuers. An autoregressive distributed lags–equilibrium correction model is estimated to identify the long-run effects of government bond purchases by the foreign official sector on 10-year yields, disentangling their impact from domestic central bank asset purchases and various macroeconomic factors. Results indicate that demand by foreign monetary authorities continues to exert a significant, albeit decreasing downward pressure on the yields of U.S. Treasuries, distinct from the impact of the Federal Reserve’s balance sheet expansion, amounting to 122 basis points on average over the past twenty years. This advantage, however, is not unique to the dollar and the United States: France enjoys a comparable yield compression, and Germany benefits twice as much from supplying safe assets denominated in another international reserve currency. Lower yields in the Euro area are not primarily driven by different macroeconomic conditions; rather, global demand for euro-denominated safe assets is concentrated on the bond markets of select member states, amplifying their ‘exorbitant privilege’. Without this advantage, German bunds would have traded at approximately the same yields as U.S. Treasuries over the past twenty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64301">
    <w:multiLevelType w:val="hybridMultilevel"/>
    <w:lvl w:ilvl="0" w:tplc="19698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64301">
    <w:abstractNumId w:val="272643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247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