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TORY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toryeszter@gmail.com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Világi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Lehet-e a pénznyomtatás a jólét kulcsa? A monetáris finanszírozás társadalmi jóléti hatásainak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monetáris finanszírozás, helikopterpénz, társadalmi jólét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Cespedes és szerzőtársai hívták fel 2020-as cikkükben a figyelmet arra, hogy a megszorító költségvetési politikának, vagy egy nem a kívánt hatást elérő monetáris politikának milyen jóléti majd végső soron pedig egy recessziós spirálba torkolló következményei lehetnek. A hitelezés fenntartása válsághelyzetben, a jólét és a fogyasztás elősegítése rengeteg hosszútávú gazdasági előnnyel és a válság során a gazdasági visszaesés megelőzésével járhat.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monetáris finanszírozás az a nemkonvencionális monetáris politikai eszköz, amely ezt tudja biztosítani. Emellett pedig hosszútávon is előnyösebb, mint a legtöbb nemkonvencionális eszköz, hiszen később sem jár társadalmi költségekkel az adósságfinanszírozásból adódóan, ami a mennyiségi lazításból következik. Az infláció a legféltettebb hozadéka az eszköznek, amely miatt sok országban tiltják. Azonban az árrugalmasság paraméterét figyelve, csak nagyon ragadós áraknál van extrém hatása a pénznyomtatásnak, rugalmas árak esetén eltörpül. A jegybanki függetlenség egy másik vitatott veszély, azonban a legtöbb tanulmány arra hivatkozik, hogy válsághelyzetben egy minél szorosabb fiskális és monetáris együttműködés tudja a legjobban stabilizálni a helyzetet.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modell felépítése során, háztartásokat, kormányzatot és termelést vizsgáltunk ragadós árakkal, kétperiódusos időtávban. Az eredmények azt mutatták, hogy létezik egy olyan árrugalmasság határérték, melynél a paraméterek függvényében a monetáris finanszírozás hasznossága megelőzi az inflációs célkövetés társadalmi hasznosságának értékét. Bár ragadós áraknál az inflációs és az egyensúlyi kibocsátás nem optimális szintjétől a társadalmi költségek magasak, rugalmas áraknál ezek mérséklődnek és az eszköz hasznossága pedig megelőzi az inflációs célkövető rezsimét.</w:t>
      </w:r>
      <w:r>
        <w:rPr>
          <w:color w:val="000000"/>
          <w:sz w:val="24"/>
          <w:szCs w:val="24"/>
        </w:rPr>
        <w:br/>
        <w:t xml:space="preserve">A monetáris finanszírozás tehát nem ördögtől való, és válsághelyzetben különös stabilizáló erővel bír. A tanulmányok is kiemelik, hogy nagyon fontos az eszköz nem tabutémaként való kezelése, megfelelő szabályozása és bizonyos esetekben az alkalmazása.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89344">
    <w:multiLevelType w:val="hybridMultilevel"/>
    <w:lvl w:ilvl="0" w:tplc="81438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89344">
    <w:abstractNumId w:val="473893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733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