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TORY</w:t>
            </w:r>
          </w:p>
          <w:p w:rsidR="00C275A3" w:rsidRDefault="00CA6B74" w:rsidP="00C275A3">
            <w:pPr>
              <w:pStyle w:val="Hallgatokepzes"/>
            </w:pPr>
            <w:r w:rsidRPr="001067CD">
              <w:rPr>
                <w:i/>
              </w:rPr>
              <w:t>toryeszter@gmail.com</w:t>
            </w:r>
            <w:r w:rsidRPr="001067CD">
              <w:rPr>
                <w:i/>
              </w:rPr>
              <w:br/>
            </w:r>
            <w:r w:rsidR="00A96AEC">
              <w:t>International Business and Economics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Világi</w:t>
            </w:r>
          </w:p>
          <w:p w:rsidR="00DB4822" w:rsidRDefault="00DB4822" w:rsidP="00BA6BAF">
            <w:pPr>
              <w:pStyle w:val="Konzulensektitulus"/>
            </w:pPr>
            <w:r w:rsidRPr="00DB4822">
              <w:t>Associate professor,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COULD MONEY PRINTING BE THE KEY TO PROSPERITY? AN ANALYSIS OF THE SOCIAL WELFARE IMPACTS OF MONETARY FINANCING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financing, helikopter money, social welfare</w:t>
      </w:r>
      <w:r>
        <w:t xml:space="preserve"/>
      </w:r>
    </w:p>
    <w:p>
      <w:pPr>
        <w:widowControl w:val="on"/>
        <w:pBdr/>
        <w:spacing w:before="240" w:after="240" w:line="240" w:lineRule="auto"/>
        <w:ind w:left="0" w:right="0"/>
        <w:jc w:val="left"/>
      </w:pPr>
      <w:r>
        <w:rPr>
          <w:color w:val="000000"/>
          <w:sz w:val="24"/>
          <w:szCs w:val="24"/>
        </w:rPr>
        <w:t xml:space="preserve">Céspedes and his co-authors highlighted in their 2020 paper the potential welfare implications and ultimately recessionary spiral consequences of restrictive fiscal policies or monetary policies that fail to achieve their intended effects. Maintaining lending during a crisis and promoting welfare and consumption can yield numerous long-term economic benefits and prevent economic downturns during the crisis.</w:t>
      </w:r>
    </w:p>
    <w:p>
      <w:pPr>
        <w:widowControl w:val="on"/>
        <w:pBdr/>
        <w:spacing w:before="240" w:after="240" w:line="240" w:lineRule="auto"/>
        <w:ind w:left="0" w:right="0"/>
        <w:jc w:val="left"/>
      </w:pPr>
      <w:r>
        <w:rPr>
          <w:color w:val="000000"/>
          <w:sz w:val="24"/>
          <w:szCs w:val="24"/>
        </w:rPr>
        <w:t xml:space="preserve">Monetary financing is the unconventional monetary policy tool that can ensure this. Furthermore, it is advantageous in the long term compared to most unconventional tools, as it does not later entail societal costs arising from debt financing, which is often a byproduct of quantitative easing. Inflation is the most feared consequence of this tool, leading to its prohibition in many countries. However, when observing the price flexibility parameter, the extreme impact of money printing is only significant under conditions of very sticky prices; with flexible prices, its effects diminish considerably. Central bank independence is another debated risk, but most studies suggest that during a crisis, closer fiscal and monetary cooperation is the most effective way to stabilize the situation.</w:t>
      </w:r>
    </w:p>
    <w:p>
      <w:pPr>
        <w:widowControl w:val="on"/>
        <w:pBdr/>
        <w:spacing w:before="240" w:after="240" w:line="240" w:lineRule="auto"/>
        <w:ind w:left="0" w:right="0"/>
        <w:jc w:val="left"/>
      </w:pPr>
      <w:r>
        <w:rPr>
          <w:color w:val="000000"/>
          <w:sz w:val="24"/>
          <w:szCs w:val="24"/>
        </w:rPr>
        <w:t xml:space="preserve">In constructing the model, households, governments, and production were examined under sticky price conditions within a two-period timeframe. The results indicated the existence of a threshold value for price flexibility, above which the utility of monetary financing surpasses the social utility of inflation targeting, depending on the parameters. Although sticky prices result in high social costs due to suboptimal inflation and equilibrium output levels, these costs diminish under flexible prices, and the utility of the tool surpasses that of inflation-targeting regimes.</w:t>
      </w:r>
    </w:p>
    <w:p>
      <w:pPr>
        <w:widowControl w:val="on"/>
        <w:pBdr/>
        <w:spacing w:before="240" w:after="240" w:line="240" w:lineRule="auto"/>
        <w:ind w:left="0" w:right="0"/>
        <w:jc w:val="left"/>
      </w:pPr>
      <w:r>
        <w:rPr>
          <w:color w:val="000000"/>
          <w:sz w:val="24"/>
          <w:szCs w:val="24"/>
        </w:rPr>
        <w:t xml:space="preserve">Thus, monetary financing is not inherently detrimental and possesses significant stabilizing potential during crises. Studies emphasize the importance of addressing this tool without taboo, regulating it appropriately, and applying it under certain circumstances.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40090">
    <w:multiLevelType w:val="hybridMultilevel"/>
    <w:lvl w:ilvl="0" w:tplc="48596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40090">
    <w:abstractNumId w:val="426400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284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