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palbaranyi99@gmail.com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Barkó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Quoniam Asset Management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Természeti katasztrófák és vállalati ellenállóképesség az ESG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Természeti katasztrófák, részvény, S&amp;P500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a természeti katasztrófák hatásait számszerűsítse részvényhozamokon</w:t>
      </w:r>
      <w:r>
        <w:rPr>
          <w:color w:val="000000"/>
          <w:sz w:val="24"/>
          <w:szCs w:val="24"/>
        </w:rPr>
        <w:br/>
        <w:t xml:space="preserve">az ESG függvényében. Ehhez az Egyesült Államokban 2023-ban történt egymilliárd dollár</w:t>
      </w:r>
      <w:r>
        <w:rPr>
          <w:color w:val="000000"/>
          <w:sz w:val="24"/>
          <w:szCs w:val="24"/>
        </w:rPr>
        <w:br/>
        <w:t xml:space="preserve">összkárt meghaladó természeti katasztrófák hatását vizsgálom az S&amp;P 500 vállalatainak</w:t>
      </w:r>
      <w:r>
        <w:rPr>
          <w:color w:val="000000"/>
          <w:sz w:val="24"/>
          <w:szCs w:val="24"/>
        </w:rPr>
        <w:br/>
        <w:t xml:space="preserve">árfolyamain eseményelemzés módszertannal. A részvényeket ESG és Environmental faktor</w:t>
      </w:r>
      <w:r>
        <w:rPr>
          <w:color w:val="000000"/>
          <w:sz w:val="24"/>
          <w:szCs w:val="24"/>
        </w:rPr>
        <w:br/>
        <w:t xml:space="preserve">pontszámok alapján csoportosítom és az egyes csoportokra eseményelemzés segítségével</w:t>
      </w:r>
      <w:r>
        <w:rPr>
          <w:color w:val="000000"/>
          <w:sz w:val="24"/>
          <w:szCs w:val="24"/>
        </w:rPr>
        <w:br/>
        <w:t xml:space="preserve">abnormális hozamokat határozok meg. A kutatásnak három eredménye van. Egyrészt rávilágít,</w:t>
      </w:r>
      <w:r>
        <w:rPr>
          <w:color w:val="000000"/>
          <w:sz w:val="24"/>
          <w:szCs w:val="24"/>
        </w:rPr>
        <w:br/>
        <w:t xml:space="preserve">hogy a természeti katasztrófák után az S&amp;P 500 vállalatok árfolyamai esnek. Második</w:t>
      </w:r>
      <w:r>
        <w:rPr>
          <w:color w:val="000000"/>
          <w:sz w:val="24"/>
          <w:szCs w:val="24"/>
        </w:rPr>
        <w:br/>
        <w:t xml:space="preserve">eredmény, hogy az E és ESG faktorok nem számítanak a részvények pénzügyi</w:t>
      </w:r>
      <w:r>
        <w:rPr>
          <w:color w:val="000000"/>
          <w:sz w:val="24"/>
          <w:szCs w:val="24"/>
        </w:rPr>
        <w:br/>
        <w:t xml:space="preserve">ellenállóképességében. Harmadrészt, viszonyítási alapot adva az ESG csoportosításnak, eltérő</w:t>
      </w:r>
      <w:r>
        <w:rPr>
          <w:color w:val="000000"/>
          <w:sz w:val="24"/>
          <w:szCs w:val="24"/>
        </w:rPr>
        <w:br/>
        <w:t xml:space="preserve">GICS szektorok jelentősen és eltérő mértékben reagálnak a katasztrófákra.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89037">
    <w:multiLevelType w:val="hybridMultilevel"/>
    <w:lvl w:ilvl="0" w:tplc="48774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89037">
    <w:abstractNumId w:val="96489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427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