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BARANYI PÁL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palbaranyi99@gmail.com</w:t>
            </w:r>
            <w:r w:rsidRPr="001067CD">
              <w:rPr>
                <w:i/>
              </w:rPr>
              <w:br/>
            </w:r>
            <w:r w:rsidR="00A96AEC">
              <w:t>International Economics and Business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John von Neumann University</w:t>
            </w:r>
            <w:r w:rsidR="00C275A3">
              <w:br/>
            </w:r>
            <w:r w:rsidR="00DB4822">
              <w:t>Faculty of Economics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Tamas Barko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 Quoniam Asset Management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Natural disasters and corporate resilience in the light of ESG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ESG, Natural disasters, Stocks, S&amp;P500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study aims to quantify the effects of natural disasters on stock returns</w:t>
      </w:r>
      <w:r>
        <w:rPr>
          <w:color w:val="000000"/>
          <w:sz w:val="24"/>
          <w:szCs w:val="24"/>
        </w:rPr>
        <w:br/>
        <w:t xml:space="preserve">in the light of ESG. To do this, I research the effect of natural disasters exceeding a total loss of one billion dollars in the United States on S&amp;P 500 companies in 2023 using an event analysis methodology. Stocks are ranked by ESG and Environmental factor scores and I group each company, then using event analysis I determine abnormal returns. The research has three outcomes. First, it highlights, that the stock prices of S&amp;P 500 companies fall after natural disasters. Second result is that the E and ESG factors do not matter for the financial resilience of stocks. Third, providing a benchmark for ESG grouping, different GICS sectors respond significantly and differently to disasters.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143647">
    <w:multiLevelType w:val="hybridMultilevel"/>
    <w:lvl w:ilvl="0" w:tplc="60620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143647">
    <w:abstractNumId w:val="201436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1636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