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VARGA</w:t>
            </w:r>
          </w:p>
          <w:p w:rsidR="00C275A3" w:rsidRDefault="00CA6B74" w:rsidP="00C275A3">
            <w:pPr>
              <w:pStyle w:val="Hallgatokepzes"/>
            </w:pPr>
            <w:r w:rsidRPr="001067CD">
              <w:rPr>
                <w:i/>
              </w:rPr>
              <w:t>vargalev26@gmail.com</w:t>
            </w:r>
            <w:r w:rsidRPr="001067CD">
              <w:rPr>
                <w:i/>
              </w:rPr>
              <w:br/>
            </w:r>
            <w:r w:rsidR="00A96AEC">
              <w:t>International Economy and Business</w:t>
            </w:r>
            <w:r w:rsidR="00A96AEC">
              <w:br/>
            </w:r>
            <w:r w:rsidR="00E77B23">
              <w:t>MSc, 2.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Gábor Malatinszky</w:t>
            </w:r>
          </w:p>
          <w:p w:rsidR="00DB4822" w:rsidRDefault="00DB4822" w:rsidP="00BA6BAF">
            <w:pPr>
              <w:pStyle w:val="Konzulensektitulus"/>
            </w:pPr>
            <w:r w:rsidRPr="00DB4822">
              <w:t>master professor,  Central Bank of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Evaluation of an Investment in the Livestock Sector II – Evaluation of Milking Robot Implementation Using Risk Management Methods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investment evaluation; agricultural investment; sensitivity analysis; milking robot; dairy production</w:t>
      </w:r>
      <w:r>
        <w:t xml:space="preserve"/>
      </w:r>
    </w:p>
    <w:p>
      <w:pPr>
        <w:widowControl w:val="on"/>
        <w:pBdr/>
        <w:spacing w:before="240" w:after="240" w:line="240" w:lineRule="auto"/>
        <w:ind w:left="0" w:right="0"/>
        <w:jc w:val="left"/>
      </w:pPr>
      <w:r>
        <w:rPr>
          <w:color w:val="000000"/>
          <w:sz w:val="24"/>
          <w:szCs w:val="24"/>
        </w:rPr>
        <w:t xml:space="preserve">This article is the fourth element of a research started in 2021. In this paper, the author seeks the answer to the question that the introduction of the milking robot technology can be considered feasible for Kócsag Ltd. in addition to the refinement of the existing model and application of more advanced, risk-assessing investment appraisal methods.</w:t>
      </w:r>
    </w:p>
    <w:p>
      <w:pPr>
        <w:widowControl w:val="on"/>
        <w:pBdr/>
        <w:spacing w:before="240" w:after="240" w:line="240" w:lineRule="auto"/>
        <w:ind w:left="0" w:right="0"/>
        <w:jc w:val="left"/>
      </w:pPr>
      <w:r>
        <w:rPr>
          <w:color w:val="000000"/>
          <w:sz w:val="24"/>
          <w:szCs w:val="24"/>
        </w:rPr>
        <w:br/>
        <w:t xml:space="preserve">Given the situation of the domestic dairy sector, the indispensable nature of innovation in the sector cannot be disputed, which is a major challenge for dairy companies, given the scale of the investments required and the specificities of the returns. At the same time, the introduction of automated milking robots can remove the ongoing operational uncertainty while greatly increasing production efficiency, and therefore the transition to robotic milking could be crucial for the long-term sustainability of dairy cattle breeding.</w:t>
      </w:r>
    </w:p>
    <w:p>
      <w:pPr>
        <w:widowControl w:val="on"/>
        <w:pBdr/>
        <w:spacing w:before="240" w:after="240" w:line="240" w:lineRule="auto"/>
        <w:ind w:left="0" w:right="0"/>
        <w:jc w:val="left"/>
      </w:pPr>
      <w:r>
        <w:rPr>
          <w:color w:val="000000"/>
          <w:sz w:val="24"/>
          <w:szCs w:val="24"/>
        </w:rPr>
        <w:br/>
        <w:t xml:space="preserve">Following the clarification of the theoretical framework and the development of the database, the first step was to recalculate the discount rate, which, thanks to the revised methodology, resulted in a truly adequate discount rate.</w:t>
      </w:r>
    </w:p>
    <w:p>
      <w:pPr>
        <w:widowControl w:val="on"/>
        <w:pBdr/>
        <w:spacing w:before="240" w:after="240" w:line="240" w:lineRule="auto"/>
        <w:ind w:left="0" w:right="0"/>
        <w:jc w:val="left"/>
      </w:pPr>
      <w:r>
        <w:rPr>
          <w:color w:val="000000"/>
          <w:sz w:val="24"/>
          <w:szCs w:val="24"/>
        </w:rPr>
        <w:br/>
        <w:t xml:space="preserve">Scenario analysis has shown that inaccurate estimation of the impacts of the investment can have disastrous consequences for the company in extreme cases. Subsequently, the sensitivity analysis and the profit threshold analysis showed that the project's profitability is mainly sensitive to changes in the revenue from the sale of milk produced and the cost of feed. It is therefore of crucial importance to estimate as accurately as possible the expected effects on the evolution of these production factors.</w:t>
      </w:r>
    </w:p>
    <w:p>
      <w:pPr>
        <w:widowControl w:val="on"/>
        <w:pBdr/>
        <w:spacing w:before="240" w:after="240" w:line="240" w:lineRule="auto"/>
        <w:ind w:left="0" w:right="0"/>
        <w:jc w:val="left"/>
      </w:pPr>
      <w:r>
        <w:rPr>
          <w:color w:val="000000"/>
          <w:sz w:val="24"/>
          <w:szCs w:val="24"/>
        </w:rPr>
        <w:br/>
        <w:t xml:space="preserve">Project no. EKÖP-24-2 has been implemented with the support provided by the Ministry of Culture and Innovation of Hungary from the National Research, Development and Innovation Fund, financed under the EKÖP-24-2-BME-165 funding scheme.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486476">
    <w:multiLevelType w:val="hybridMultilevel"/>
    <w:lvl w:ilvl="0" w:tplc="13223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486476">
    <w:abstractNumId w:val="324864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73546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