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marton.acs66@gmail.com</w:t>
            </w:r>
            <w:r w:rsidRPr="001067CD">
              <w:rPr>
                <w:i/>
              </w:rPr>
              <w:br/>
            </w:r>
            <w:r w:rsidR="00A96AEC">
              <w:t>nemzetközi gazdaság és gazdálkodás (magyar nyelven)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Malatinszky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Vezető európai vállalatok részvény visszavásárlási bejelentéseinek abnormális hozamai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részvény visszavásárlás; tőkeszerkezet; adósságfinanszírozás; adózás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azon kérdésekre keresem a választ, hogy a vezető európai vállalatok legfrissebb nyílt piaci részvény visszavásárlási bejelentései milyen átlagos rövid távú hatással vannak a részvényárfolyamokra, illetve milyen vállalatspecifikus tényezők befolyásolják a piaci hatásokat. A Stoxx Europe 600 részvényindexben szereplő 76 vezető európai vállalat legaktuálisabb nyílt piaci visszavásárlási bejelentéseinek mintáján az eseményelemzés módszertanának használatával a 3 napos eseményablakban 1,11 százalékos átlagos kumulált abnormális hozamot mutattam ki. A szakirodalom eddigi eredményeitől elmaradó mértékű pozitív piaci hatást a mintában felülreprezentált 2023-as és 2024-es bejelentések esetében megfigyelt, korábbi évekhez képest visszaeső abnormális hozamokkal, illetve a mintában szintén jelentős részaránnyal bíró Egyesült Királyság, Franciaország és Németország vezető vállalatainak bejelentései esetében tapasztalt szerényebb abnormális hozamokkal magyarázom. A piaci hatásokat befolyásoló vállalatspecifikus tényezők lineáris regressziókkal való tesztelése során az eredmények egyértelműen alátámasztják a tőkeszerkezet elméletet. Következésképp, a vezető európai vállalatok körében a piac kiemelkedően díjazza azon cégek nyílt piaci visszavásárlásait, amelyek a bejelentésig nem optimális mértékben használták ki az adósságból való finanszírozás adózási előnyeit.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27433">
    <w:multiLevelType w:val="hybridMultilevel"/>
    <w:lvl w:ilvl="0" w:tplc="80646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27433">
    <w:abstractNumId w:val="44827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186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