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MARTON ACS</w:t>
            </w:r>
          </w:p>
          <w:p w:rsidR="00C275A3" w:rsidRDefault="00CA6B74" w:rsidP="00C275A3">
            <w:pPr>
              <w:pStyle w:val="Hallgatokepzes"/>
            </w:pPr>
            <w:r w:rsidRPr="001067CD">
              <w:rPr>
                <w:i/>
              </w:rPr>
              <w:t>marton.acs66@gmail.com</w:t>
            </w:r>
            <w:r w:rsidRPr="001067CD">
              <w:rPr>
                <w:i/>
              </w:rPr>
              <w:br/>
            </w:r>
            <w:r w:rsidR="00A96AEC">
              <w:t>International Economy and Business</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Gabor Malatinszky</w:t>
            </w:r>
          </w:p>
          <w:p w:rsidR="00DB4822" w:rsidRDefault="00DB4822" w:rsidP="00BA6BAF">
            <w:pPr>
              <w:pStyle w:val="Konzulensektitulus"/>
            </w:pPr>
            <w:r w:rsidRPr="00DB4822">
              <w:t>senior lecturer,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abnormal returns of leading European firms’ stock buyback announcements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share repurchases; capital structure; leverage; taxation</w:t>
      </w:r>
      <w:r>
        <w:t xml:space="preserve"/>
      </w:r>
    </w:p>
    <w:p>
      <w:pPr>
        <w:widowControl w:val="on"/>
        <w:pBdr/>
        <w:spacing w:before="240" w:after="240" w:line="240" w:lineRule="auto"/>
        <w:ind w:left="0" w:right="0"/>
        <w:jc w:val="left"/>
      </w:pPr>
      <w:r>
        <w:rPr>
          <w:color w:val="000000"/>
          <w:sz w:val="24"/>
          <w:szCs w:val="24"/>
        </w:rPr>
        <w:br/>
        <w:t xml:space="preserve">In this paper, I study the latest open-market repurchase announcements of 76 leading European companies included in the Stoxx Europe 600 stock index. Applying the event study methodology, I find an average cumulative abnormal return of 1.11% within a 3-day event window. The moderate positive market impact compared to previous findings, on the one hand is explained by the declining abnormal returns observed for announcements in 2023 and 2024, which are overrepresented in the sample. On the country level, the lower abnormal returns are associated with announcements by leading companies in the United Kingdom, France, and Germany, which also constitute a significant portion of the sample. When testing firm-specific characteristics through linear regressions, the results support the capital structure theory. Consequently, in case of leading European companies, investors outstandingly reward open-market repurchases by firms that had not take full advantage from the tax benefits of debt financing prior to the announcement.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396941">
    <w:multiLevelType w:val="hybridMultilevel"/>
    <w:lvl w:ilvl="0" w:tplc="17274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396941">
    <w:abstractNumId w:val="853969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57906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